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872DF" w14:textId="72804AF3" w:rsidR="0064512D" w:rsidRPr="0074618E" w:rsidRDefault="0064512D" w:rsidP="0064512D">
      <w:pPr>
        <w:pStyle w:val="3GPPHeader"/>
        <w:spacing w:after="60"/>
        <w:rPr>
          <w:sz w:val="32"/>
          <w:szCs w:val="32"/>
          <w:highlight w:val="yellow"/>
          <w:lang w:val="en-US"/>
        </w:rPr>
      </w:pPr>
      <w:bookmarkStart w:id="0" w:name="OLE_LINK1"/>
      <w:bookmarkStart w:id="1" w:name="OLE_LINK2"/>
      <w:r w:rsidRPr="0074618E">
        <w:rPr>
          <w:lang w:val="en-US"/>
        </w:rPr>
        <w:t>3GPP TSG</w:t>
      </w:r>
      <w:r w:rsidR="00F678C2">
        <w:rPr>
          <w:lang w:val="en-US"/>
        </w:rPr>
        <w:t xml:space="preserve"> </w:t>
      </w:r>
      <w:r w:rsidRPr="0074618E">
        <w:rPr>
          <w:lang w:val="en-US"/>
        </w:rPr>
        <w:t xml:space="preserve">RAN WG1 </w:t>
      </w:r>
      <w:r w:rsidR="00F678C2">
        <w:rPr>
          <w:lang w:val="en-US"/>
        </w:rPr>
        <w:t>Meeting #92</w:t>
      </w:r>
      <w:r w:rsidRPr="0074618E">
        <w:rPr>
          <w:lang w:val="en-US"/>
        </w:rPr>
        <w:tab/>
      </w:r>
      <w:r w:rsidR="004D04E2" w:rsidRPr="004D04E2">
        <w:rPr>
          <w:sz w:val="32"/>
          <w:szCs w:val="32"/>
          <w:lang w:val="en-US"/>
        </w:rPr>
        <w:t>R1-1802774</w:t>
      </w:r>
    </w:p>
    <w:p w14:paraId="082BB945" w14:textId="158A41C4" w:rsidR="0064512D" w:rsidRDefault="00F678C2" w:rsidP="0064512D">
      <w:pPr>
        <w:pStyle w:val="CRCoverPage"/>
        <w:outlineLvl w:val="0"/>
        <w:rPr>
          <w:b/>
          <w:noProof/>
          <w:sz w:val="24"/>
        </w:rPr>
      </w:pPr>
      <w:r>
        <w:rPr>
          <w:b/>
          <w:noProof/>
          <w:sz w:val="24"/>
        </w:rPr>
        <w:t>Athens</w:t>
      </w:r>
      <w:r w:rsidR="0064512D">
        <w:rPr>
          <w:b/>
          <w:noProof/>
          <w:sz w:val="24"/>
        </w:rPr>
        <w:t xml:space="preserve">, </w:t>
      </w:r>
      <w:r>
        <w:rPr>
          <w:b/>
          <w:noProof/>
          <w:sz w:val="24"/>
        </w:rPr>
        <w:t>Greece</w:t>
      </w:r>
      <w:r w:rsidR="0064512D" w:rsidRPr="00AB78B2">
        <w:rPr>
          <w:b/>
          <w:noProof/>
          <w:sz w:val="24"/>
        </w:rPr>
        <w:t xml:space="preserve">, </w:t>
      </w:r>
      <w:r>
        <w:rPr>
          <w:b/>
          <w:noProof/>
          <w:sz w:val="24"/>
        </w:rPr>
        <w:t xml:space="preserve">February </w:t>
      </w:r>
      <w:r w:rsidR="00972F4D">
        <w:rPr>
          <w:b/>
          <w:noProof/>
          <w:sz w:val="24"/>
        </w:rPr>
        <w:t>2</w:t>
      </w:r>
      <w:r>
        <w:rPr>
          <w:b/>
          <w:noProof/>
          <w:sz w:val="24"/>
        </w:rPr>
        <w:t>6</w:t>
      </w:r>
      <w:r>
        <w:rPr>
          <w:b/>
          <w:noProof/>
          <w:sz w:val="24"/>
          <w:vertAlign w:val="superscript"/>
        </w:rPr>
        <w:t>th</w:t>
      </w:r>
      <w:r w:rsidR="008F4BFD">
        <w:rPr>
          <w:b/>
          <w:noProof/>
          <w:sz w:val="24"/>
          <w:vertAlign w:val="superscript"/>
        </w:rPr>
        <w:t xml:space="preserve"> </w:t>
      </w:r>
      <w:r>
        <w:rPr>
          <w:b/>
          <w:noProof/>
          <w:sz w:val="24"/>
        </w:rPr>
        <w:t>–</w:t>
      </w:r>
      <w:r w:rsidR="0064512D">
        <w:rPr>
          <w:b/>
          <w:noProof/>
          <w:sz w:val="24"/>
        </w:rPr>
        <w:t xml:space="preserve"> </w:t>
      </w:r>
      <w:r>
        <w:rPr>
          <w:b/>
          <w:noProof/>
          <w:sz w:val="24"/>
        </w:rPr>
        <w:t>March 2</w:t>
      </w:r>
      <w:r>
        <w:rPr>
          <w:b/>
          <w:noProof/>
          <w:sz w:val="24"/>
          <w:vertAlign w:val="superscript"/>
        </w:rPr>
        <w:t>nd</w:t>
      </w:r>
      <w:r w:rsidR="0064512D">
        <w:rPr>
          <w:b/>
          <w:noProof/>
          <w:sz w:val="24"/>
        </w:rPr>
        <w:t xml:space="preserve"> 201</w:t>
      </w:r>
      <w:r w:rsidR="008F4BFD">
        <w:rPr>
          <w:b/>
          <w:noProof/>
          <w:sz w:val="24"/>
        </w:rPr>
        <w:t>8</w:t>
      </w:r>
    </w:p>
    <w:p w14:paraId="106F40E5" w14:textId="77777777" w:rsidR="00424DB8" w:rsidRPr="00776D52" w:rsidRDefault="00424DB8" w:rsidP="00424DB8">
      <w:pPr>
        <w:pStyle w:val="TdocHeader2"/>
        <w:rPr>
          <w:sz w:val="22"/>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32D93E91"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r>
      <w:r w:rsidR="00250E48">
        <w:rPr>
          <w:sz w:val="20"/>
          <w:lang w:val="en-US"/>
        </w:rPr>
        <w:t>Solutions and techniques for NR-U</w:t>
      </w:r>
    </w:p>
    <w:p w14:paraId="30ECB4F7" w14:textId="67C33D41"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F83935">
        <w:rPr>
          <w:bCs/>
          <w:iCs/>
          <w:sz w:val="20"/>
        </w:rPr>
        <w:t>7.6.</w:t>
      </w:r>
      <w:r w:rsidR="001F15D8">
        <w:rPr>
          <w:bCs/>
          <w:iCs/>
          <w:sz w:val="20"/>
        </w:rPr>
        <w:t>4</w:t>
      </w:r>
    </w:p>
    <w:p w14:paraId="03E740D3" w14:textId="77777777" w:rsidR="00424DB8" w:rsidRPr="00B657AC" w:rsidRDefault="00424DB8" w:rsidP="00424DB8">
      <w:pPr>
        <w:pStyle w:val="TdocHeader2"/>
        <w:rPr>
          <w:sz w:val="20"/>
          <w:lang w:val="en-US"/>
        </w:rPr>
      </w:pPr>
      <w:r w:rsidRPr="00B657AC">
        <w:rPr>
          <w:sz w:val="20"/>
          <w:lang w:val="en-US"/>
        </w:rPr>
        <w:t>Document for:</w:t>
      </w:r>
      <w:r w:rsidRPr="00B657AC">
        <w:rPr>
          <w:sz w:val="20"/>
          <w:lang w:val="en-US"/>
        </w:rPr>
        <w:tab/>
        <w:t>Discussion and Decision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14:paraId="043799D5" w14:textId="16E2C0C3" w:rsidR="00557EB8" w:rsidRDefault="00557EB8" w:rsidP="00557EB8">
      <w:pPr>
        <w:pStyle w:val="BodyText"/>
      </w:pPr>
      <w:proofErr w:type="gramStart"/>
      <w:r>
        <w:t>In order to</w:t>
      </w:r>
      <w:proofErr w:type="gramEnd"/>
      <w:r>
        <w:t xml:space="preserve"> efficiently utilize the large amounts of unlicensed spectrum available worldwide, both licensed operation and unlicensed operation are considered for NR. At RAN-75, a study item </w:t>
      </w:r>
      <w:bookmarkStart w:id="5" w:name="_GoBack"/>
      <w:bookmarkEnd w:id="5"/>
      <w:r>
        <w:t>on NR-based Access to Unlicensed Spectrum was approved</w:t>
      </w:r>
      <w:r w:rsidR="00034FB6">
        <w:t xml:space="preserve"> </w:t>
      </w:r>
      <w:r w:rsidR="00034FB6">
        <w:fldChar w:fldCharType="begin"/>
      </w:r>
      <w:r w:rsidR="00034FB6">
        <w:instrText xml:space="preserve"> REF _Ref481486326 \r \h </w:instrText>
      </w:r>
      <w:r w:rsidR="00034FB6">
        <w:fldChar w:fldCharType="separate"/>
      </w:r>
      <w:r w:rsidR="00CF6711">
        <w:t>[</w:t>
      </w:r>
      <w:r w:rsidR="00CF6711">
        <w:t>1</w:t>
      </w:r>
      <w:r w:rsidR="00CF6711">
        <w:t>]</w:t>
      </w:r>
      <w:r w:rsidR="00034FB6">
        <w:fldChar w:fldCharType="end"/>
      </w:r>
      <w:r>
        <w:t>. One objective is to:</w:t>
      </w:r>
    </w:p>
    <w:p w14:paraId="22F0D0DE" w14:textId="77777777" w:rsidR="00250E48" w:rsidRPr="00250E48" w:rsidRDefault="00250E48" w:rsidP="003D63F9">
      <w:pPr>
        <w:numPr>
          <w:ilvl w:val="0"/>
          <w:numId w:val="15"/>
        </w:numPr>
        <w:overflowPunct w:val="0"/>
        <w:autoSpaceDE w:val="0"/>
        <w:autoSpaceDN w:val="0"/>
        <w:adjustRightInd w:val="0"/>
        <w:spacing w:after="180"/>
        <w:rPr>
          <w:bCs/>
          <w:i/>
          <w:szCs w:val="20"/>
        </w:rPr>
      </w:pPr>
      <w:r w:rsidRPr="00250E48">
        <w:rPr>
          <w:bCs/>
          <w:i/>
          <w:szCs w:val="20"/>
        </w:rPr>
        <w:t xml:space="preserve">Study NR-based operation in unlicensed spectrum (RAN1, RAN2, RAN4) including </w:t>
      </w:r>
    </w:p>
    <w:p w14:paraId="0B899444" w14:textId="77777777" w:rsidR="00250E48" w:rsidRPr="00250E48" w:rsidRDefault="00250E48" w:rsidP="003D63F9">
      <w:pPr>
        <w:numPr>
          <w:ilvl w:val="1"/>
          <w:numId w:val="16"/>
        </w:numPr>
        <w:overflowPunct w:val="0"/>
        <w:autoSpaceDE w:val="0"/>
        <w:autoSpaceDN w:val="0"/>
        <w:adjustRightInd w:val="0"/>
        <w:spacing w:after="180"/>
        <w:rPr>
          <w:bCs/>
          <w:i/>
          <w:szCs w:val="20"/>
        </w:rPr>
      </w:pPr>
      <w:r w:rsidRPr="00250E48">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3809B059" w14:textId="77777777" w:rsidR="00250E48" w:rsidRPr="00250E48" w:rsidRDefault="00250E48" w:rsidP="003D63F9">
      <w:pPr>
        <w:numPr>
          <w:ilvl w:val="2"/>
          <w:numId w:val="16"/>
        </w:numPr>
        <w:overflowPunct w:val="0"/>
        <w:autoSpaceDE w:val="0"/>
        <w:autoSpaceDN w:val="0"/>
        <w:adjustRightInd w:val="0"/>
        <w:spacing w:after="180"/>
        <w:rPr>
          <w:bCs/>
          <w:i/>
          <w:szCs w:val="20"/>
        </w:rPr>
      </w:pPr>
      <w:r w:rsidRPr="00250E48">
        <w:rPr>
          <w:bCs/>
          <w:i/>
          <w:szCs w:val="20"/>
        </w:rPr>
        <w:t>Consider unlicensed bands both below and above 6GHz, up to 52.6GHz</w:t>
      </w:r>
    </w:p>
    <w:p w14:paraId="66BF1049" w14:textId="77777777" w:rsidR="00250E48" w:rsidRPr="00250E48" w:rsidRDefault="00250E48" w:rsidP="003D63F9">
      <w:pPr>
        <w:numPr>
          <w:ilvl w:val="2"/>
          <w:numId w:val="16"/>
        </w:numPr>
        <w:overflowPunct w:val="0"/>
        <w:autoSpaceDE w:val="0"/>
        <w:autoSpaceDN w:val="0"/>
        <w:adjustRightInd w:val="0"/>
        <w:spacing w:after="180"/>
        <w:rPr>
          <w:bCs/>
          <w:i/>
          <w:szCs w:val="20"/>
        </w:rPr>
      </w:pPr>
      <w:r w:rsidRPr="00250E48">
        <w:rPr>
          <w:bCs/>
          <w:i/>
          <w:szCs w:val="20"/>
        </w:rPr>
        <w:t xml:space="preserve">Consider unlicensed bands above 52.6GHz to the extent that waveform design principles remain unchanged with respect to below 52.6GHz bands </w:t>
      </w:r>
    </w:p>
    <w:p w14:paraId="4AE0A513" w14:textId="77777777" w:rsidR="00250E48" w:rsidRPr="00250E48" w:rsidRDefault="00250E48" w:rsidP="003D63F9">
      <w:pPr>
        <w:numPr>
          <w:ilvl w:val="2"/>
          <w:numId w:val="16"/>
        </w:numPr>
        <w:overflowPunct w:val="0"/>
        <w:autoSpaceDE w:val="0"/>
        <w:autoSpaceDN w:val="0"/>
        <w:adjustRightInd w:val="0"/>
        <w:spacing w:after="180"/>
        <w:rPr>
          <w:bCs/>
          <w:i/>
          <w:szCs w:val="20"/>
        </w:rPr>
      </w:pPr>
      <w:r w:rsidRPr="00250E48">
        <w:rPr>
          <w:bCs/>
          <w:i/>
          <w:szCs w:val="20"/>
          <w:lang w:eastAsia="zh-CN"/>
        </w:rPr>
        <w:t>Consider similar forward compatibility principles made in the NR WI</w:t>
      </w:r>
      <w:r w:rsidRPr="00250E48">
        <w:rPr>
          <w:bCs/>
          <w:i/>
          <w:szCs w:val="20"/>
        </w:rPr>
        <w:t xml:space="preserve"> </w:t>
      </w:r>
    </w:p>
    <w:p w14:paraId="27299A9A" w14:textId="77777777" w:rsidR="00250E48" w:rsidRPr="00250E48" w:rsidRDefault="00250E48" w:rsidP="003D63F9">
      <w:pPr>
        <w:numPr>
          <w:ilvl w:val="1"/>
          <w:numId w:val="16"/>
        </w:numPr>
        <w:overflowPunct w:val="0"/>
        <w:autoSpaceDE w:val="0"/>
        <w:autoSpaceDN w:val="0"/>
        <w:adjustRightInd w:val="0"/>
        <w:spacing w:after="180"/>
        <w:rPr>
          <w:bCs/>
          <w:i/>
          <w:szCs w:val="20"/>
          <w:lang w:val="en-GB"/>
        </w:rPr>
      </w:pPr>
      <w:r w:rsidRPr="00250E48">
        <w:rPr>
          <w:bCs/>
          <w:i/>
          <w:szCs w:val="20"/>
          <w:lang w:val="en-GB"/>
        </w:rPr>
        <w:t>Initial access, channel access. Scheduling/HARQ, and mobility including connected/inactive/idle mode operation and radio-link monitoring/failure</w:t>
      </w:r>
    </w:p>
    <w:p w14:paraId="021CD17A" w14:textId="77777777" w:rsidR="00250E48" w:rsidRPr="00250E48" w:rsidRDefault="00250E48" w:rsidP="003D63F9">
      <w:pPr>
        <w:numPr>
          <w:ilvl w:val="1"/>
          <w:numId w:val="16"/>
        </w:numPr>
        <w:overflowPunct w:val="0"/>
        <w:autoSpaceDE w:val="0"/>
        <w:autoSpaceDN w:val="0"/>
        <w:adjustRightInd w:val="0"/>
        <w:spacing w:after="180"/>
        <w:rPr>
          <w:bCs/>
          <w:i/>
          <w:szCs w:val="20"/>
        </w:rPr>
      </w:pPr>
      <w:r w:rsidRPr="00250E48">
        <w:rPr>
          <w:bCs/>
          <w:i/>
          <w:szCs w:val="20"/>
        </w:rPr>
        <w:t>Coexistence methods within NR-based and between NR-based operation in unlicensed and LTE-based LAA and with other incumbent RATs in accordance with regulatory requirements in e.g., 5</w:t>
      </w:r>
      <w:proofErr w:type="gramStart"/>
      <w:r w:rsidRPr="00250E48">
        <w:rPr>
          <w:bCs/>
          <w:i/>
          <w:szCs w:val="20"/>
        </w:rPr>
        <w:t>GHz ,</w:t>
      </w:r>
      <w:proofErr w:type="gramEnd"/>
      <w:r w:rsidRPr="00250E48">
        <w:rPr>
          <w:bCs/>
          <w:i/>
          <w:szCs w:val="20"/>
        </w:rPr>
        <w:t xml:space="preserve"> 37GHz, 60GHz bands </w:t>
      </w:r>
    </w:p>
    <w:p w14:paraId="269CEC65" w14:textId="77777777" w:rsidR="00250E48" w:rsidRPr="00250E48" w:rsidRDefault="00250E48" w:rsidP="003D63F9">
      <w:pPr>
        <w:numPr>
          <w:ilvl w:val="2"/>
          <w:numId w:val="16"/>
        </w:numPr>
        <w:overflowPunct w:val="0"/>
        <w:autoSpaceDE w:val="0"/>
        <w:autoSpaceDN w:val="0"/>
        <w:adjustRightInd w:val="0"/>
        <w:spacing w:after="180"/>
        <w:rPr>
          <w:bCs/>
          <w:i/>
          <w:szCs w:val="20"/>
        </w:rPr>
      </w:pPr>
      <w:r w:rsidRPr="00250E48">
        <w:rPr>
          <w:bCs/>
          <w:i/>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5165B13B" w14:textId="489975C2" w:rsidR="00424DB8" w:rsidRDefault="00557EB8" w:rsidP="00250E48">
      <w:pPr>
        <w:pStyle w:val="BodyText"/>
      </w:pPr>
      <w:r>
        <w:t xml:space="preserve">In this </w:t>
      </w:r>
      <w:r w:rsidR="00034FB6">
        <w:t xml:space="preserve">contribution we discuss </w:t>
      </w:r>
      <w:r w:rsidR="00250E48">
        <w:t>solutions and techniques required to fulfill the</w:t>
      </w:r>
      <w:r w:rsidR="003E59CE">
        <w:t>se</w:t>
      </w:r>
      <w:r w:rsidR="00250E48">
        <w:t xml:space="preserve"> study item objectives. </w:t>
      </w:r>
    </w:p>
    <w:p w14:paraId="04D1C24B" w14:textId="77777777" w:rsidR="00606F68" w:rsidRPr="00E16CD2" w:rsidRDefault="00606F68" w:rsidP="00606F68">
      <w:pPr>
        <w:pStyle w:val="BodyText"/>
      </w:pPr>
    </w:p>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14:paraId="1E8CCBE7" w14:textId="31995C19" w:rsidR="00142641" w:rsidRPr="00250E48" w:rsidRDefault="00424DB8" w:rsidP="001E19C0">
      <w:pPr>
        <w:pStyle w:val="BodyText"/>
        <w:rPr>
          <w:highlight w:val="yellow"/>
        </w:rPr>
      </w:pPr>
      <w:r w:rsidRPr="00F63C5D">
        <w:t xml:space="preserve">Support of unlicensed operation both stand-alone as well as in combination with licensed spectrum is an essential requirement for </w:t>
      </w:r>
      <w:r w:rsidR="00972F4D">
        <w:t>NR</w:t>
      </w:r>
      <w:r w:rsidRPr="00F63C5D">
        <w:t xml:space="preserve">.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 xml:space="preserve">compared with those for licensed spectrum. </w:t>
      </w:r>
    </w:p>
    <w:p w14:paraId="6AB989A2" w14:textId="0AC8EE60" w:rsidR="00142641" w:rsidRDefault="00142641" w:rsidP="001E19C0">
      <w:pPr>
        <w:pStyle w:val="BodyText"/>
      </w:pPr>
      <w:r w:rsidRPr="00E57B0F">
        <w:t>One important design principle of NR has been that the design should be flexible enough to be able to operate in a wide range of frequency bands and deployments. In addition, achieving a design that is a</w:t>
      </w:r>
      <w:r w:rsidR="00D443C3" w:rsidRPr="00E57B0F">
        <w:t>s</w:t>
      </w:r>
      <w:r w:rsidRPr="00E57B0F">
        <w:t xml:space="preserve"> lean as possible in terms of </w:t>
      </w:r>
      <w:r w:rsidR="00D47353" w:rsidRPr="00E57B0F">
        <w:t>always</w:t>
      </w:r>
      <w:r w:rsidR="00D443C3" w:rsidRPr="00E57B0F">
        <w:t>-</w:t>
      </w:r>
      <w:r w:rsidR="00D47353" w:rsidRPr="00E57B0F">
        <w:t>on signals has also been an important factor. Both these design principles are of great benefit when adapting the NR design to operate well in unlicensed spectrum.</w:t>
      </w:r>
    </w:p>
    <w:p w14:paraId="596DA05B" w14:textId="511BDA4C" w:rsidR="00E57B0F" w:rsidRDefault="00E57B0F" w:rsidP="00E57B0F">
      <w:pPr>
        <w:pStyle w:val="Heading2"/>
      </w:pPr>
      <w:r w:rsidRPr="00E57B0F">
        <w:t xml:space="preserve">Numerology </w:t>
      </w:r>
    </w:p>
    <w:p w14:paraId="1D9C6785" w14:textId="6417790A" w:rsidR="00E57B0F" w:rsidRDefault="00E57B0F" w:rsidP="00E57B0F">
      <w:pPr>
        <w:pStyle w:val="BodyText"/>
      </w:pPr>
    </w:p>
    <w:p w14:paraId="03BD7FC8" w14:textId="77777777" w:rsidR="003B3FF3" w:rsidRDefault="003B3FF3" w:rsidP="00E57B0F">
      <w:pPr>
        <w:pStyle w:val="BodyText"/>
      </w:pPr>
    </w:p>
    <w:p w14:paraId="5E35C089" w14:textId="7AC24E45" w:rsidR="003B3FF3" w:rsidRDefault="003B3FF3" w:rsidP="003B3FF3">
      <w:pPr>
        <w:pStyle w:val="BodyText"/>
      </w:pPr>
      <w:r>
        <w:lastRenderedPageBreak/>
        <w:t xml:space="preserve">In </w:t>
      </w:r>
      <w:r w:rsidR="00CB4A31">
        <w:rPr>
          <w:highlight w:val="yellow"/>
        </w:rPr>
        <w:fldChar w:fldCharType="begin"/>
      </w:r>
      <w:r w:rsidR="00CB4A31">
        <w:instrText xml:space="preserve"> REF _Ref506538354 \r \h </w:instrText>
      </w:r>
      <w:r w:rsidR="00CB4A31">
        <w:rPr>
          <w:highlight w:val="yellow"/>
        </w:rPr>
      </w:r>
      <w:r w:rsidR="00CB4A31">
        <w:rPr>
          <w:highlight w:val="yellow"/>
        </w:rPr>
        <w:fldChar w:fldCharType="separate"/>
      </w:r>
      <w:r w:rsidR="00A21F3E">
        <w:t>[2]</w:t>
      </w:r>
      <w:r w:rsidR="00CB4A31">
        <w:rPr>
          <w:highlight w:val="yellow"/>
        </w:rPr>
        <w:fldChar w:fldCharType="end"/>
      </w:r>
      <w:r>
        <w:t xml:space="preserve"> we provide an extended discussion on OFDM numerology design to operate NR in unlicensed spectrum.</w:t>
      </w:r>
    </w:p>
    <w:p w14:paraId="738B4F12" w14:textId="1E3C4B43" w:rsidR="00D54A24" w:rsidRDefault="003B3FF3" w:rsidP="003B3FF3">
      <w:pPr>
        <w:pStyle w:val="BodyText"/>
      </w:pPr>
      <w:r>
        <w:t xml:space="preserve">To summarize, the transmission granularity and latency can be reduced if 30 kHz and 60 kHz subcarrier spacing are used as numerology candidates for NR in unlicensed spectrum for 5/6 GHz. 60KHz subcarrier spacing will enable 4 times higher channel access granularity as compared to LAA. </w:t>
      </w:r>
    </w:p>
    <w:p w14:paraId="2AA00677" w14:textId="0BB29E60" w:rsidR="003B3FF3" w:rsidRPr="003B3FF3" w:rsidRDefault="003B3FF3" w:rsidP="003B3FF3">
      <w:pPr>
        <w:pStyle w:val="Proposal"/>
        <w:rPr>
          <w:rFonts w:ascii="Times New Roman" w:hAnsi="Times New Roman"/>
          <w:sz w:val="22"/>
        </w:rPr>
      </w:pPr>
      <w:bookmarkStart w:id="7" w:name="_Toc506553710"/>
      <w:r w:rsidRPr="003B3FF3">
        <w:rPr>
          <w:rFonts w:ascii="Times New Roman" w:hAnsi="Times New Roman"/>
          <w:sz w:val="22"/>
        </w:rPr>
        <w:t>30 kHz and 60 kHz subcarrier spacing are considered for NR unlicensed @ 5 GHz and 6GHz.</w:t>
      </w:r>
      <w:bookmarkEnd w:id="7"/>
    </w:p>
    <w:p w14:paraId="157554EB" w14:textId="45F33543" w:rsidR="003B3FF3" w:rsidRPr="00E57B0F" w:rsidRDefault="003B3FF3" w:rsidP="003B3FF3">
      <w:pPr>
        <w:pStyle w:val="BodyText"/>
      </w:pPr>
      <w:r w:rsidRPr="003E6497">
        <w:t xml:space="preserve">NR Rel-15 focused on frequencies up to 40GHz, and therefore further studies are needed to </w:t>
      </w:r>
      <w:r>
        <w:t>determine a</w:t>
      </w:r>
      <w:r w:rsidRPr="003E6497">
        <w:t xml:space="preserve"> suitable subcarrier spacing for 60GHz band. </w:t>
      </w:r>
      <w:r w:rsidR="004D702A">
        <w:t>W</w:t>
      </w:r>
      <w:r w:rsidR="004D702A" w:rsidRPr="003E6497">
        <w:t>e consider it appropriate to consider such studies</w:t>
      </w:r>
      <w:r w:rsidR="004D702A">
        <w:t xml:space="preserve"> in tandem to studies that may include potential enhancements to channel access mechanisms, after the general discussion for lower bands, e.g., 5 GHz, 6 GHz is complete.</w:t>
      </w:r>
    </w:p>
    <w:p w14:paraId="4BA2C157" w14:textId="18DCDBD6" w:rsidR="00E57B0F" w:rsidRDefault="00E57B0F" w:rsidP="00E57B0F">
      <w:pPr>
        <w:pStyle w:val="Heading2"/>
      </w:pPr>
      <w:r w:rsidRPr="00E57B0F">
        <w:t>Frame structure</w:t>
      </w:r>
    </w:p>
    <w:p w14:paraId="3869D499" w14:textId="7FE3729C" w:rsidR="00EC23B5" w:rsidRPr="00EC23B5" w:rsidRDefault="00EC23B5" w:rsidP="00EC23B5">
      <w:pPr>
        <w:pStyle w:val="BodyText"/>
      </w:pPr>
      <w:r w:rsidRPr="00FD14DB">
        <w:t>NR supports FDD, dynamic TDD, and TDD with semi-statically configured UL/DL configuration</w:t>
      </w:r>
      <w:r>
        <w:t xml:space="preserve"> as described in </w:t>
      </w:r>
      <w:r w:rsidR="0081283A">
        <w:rPr>
          <w:highlight w:val="yellow"/>
        </w:rPr>
        <w:fldChar w:fldCharType="begin"/>
      </w:r>
      <w:r w:rsidR="0081283A">
        <w:instrText xml:space="preserve"> REF _Ref506538439 \r \h </w:instrText>
      </w:r>
      <w:r w:rsidR="0081283A">
        <w:rPr>
          <w:highlight w:val="yellow"/>
        </w:rPr>
      </w:r>
      <w:r w:rsidR="0081283A">
        <w:rPr>
          <w:highlight w:val="yellow"/>
        </w:rPr>
        <w:fldChar w:fldCharType="separate"/>
      </w:r>
      <w:r w:rsidR="00A21F3E">
        <w:t>[3]</w:t>
      </w:r>
      <w:r w:rsidR="0081283A">
        <w:rPr>
          <w:highlight w:val="yellow"/>
        </w:rPr>
        <w:fldChar w:fldCharType="end"/>
      </w:r>
      <w:r>
        <w:t xml:space="preserve">. Operation in unlicensed spectrum clearly requires a dynamic TDD scheme </w:t>
      </w:r>
      <w:proofErr w:type="gramStart"/>
      <w:r>
        <w:t>similar to</w:t>
      </w:r>
      <w:proofErr w:type="gramEnd"/>
      <w:r>
        <w:t xml:space="preserve"> frame structure 3 used for LAA. However, s</w:t>
      </w:r>
      <w:r w:rsidRPr="004D2F04">
        <w:t>emi-stati</w:t>
      </w:r>
      <w:r>
        <w:t>c assignments can be used to indicate DL subframes that carry synchronization and broadcast signals.</w:t>
      </w:r>
    </w:p>
    <w:p w14:paraId="0ADC29BA" w14:textId="77777777" w:rsidR="00EC23B5" w:rsidRPr="00EC23B5" w:rsidRDefault="00EC23B5" w:rsidP="00EC23B5">
      <w:pPr>
        <w:pStyle w:val="Proposal"/>
        <w:rPr>
          <w:rFonts w:ascii="Times New Roman" w:hAnsi="Times New Roman"/>
          <w:sz w:val="22"/>
        </w:rPr>
      </w:pPr>
      <w:bookmarkStart w:id="8" w:name="_Toc506553711"/>
      <w:r w:rsidRPr="00EC23B5">
        <w:rPr>
          <w:rFonts w:ascii="Times New Roman" w:hAnsi="Times New Roman"/>
          <w:sz w:val="22"/>
        </w:rPr>
        <w:t>NR-U should support both dynamic and semi-static DL/UL configurations.</w:t>
      </w:r>
      <w:bookmarkEnd w:id="8"/>
    </w:p>
    <w:p w14:paraId="5FDE4C74" w14:textId="53B0C494" w:rsidR="00EC23B5" w:rsidRPr="00EC23B5" w:rsidRDefault="00EC23B5" w:rsidP="00EC23B5">
      <w:pPr>
        <w:pStyle w:val="BodyText"/>
      </w:pPr>
      <w:r>
        <w:t>In NR, a slot is 14 OFDM symbol length, irrespective of the numerology used. Nevertheless, NR support shorter transmit duration than a regular 14 OS slot via introducing non-</w:t>
      </w:r>
      <w:proofErr w:type="gramStart"/>
      <w:r>
        <w:t>slot based</w:t>
      </w:r>
      <w:proofErr w:type="gramEnd"/>
      <w:r>
        <w:t xml:space="preserve"> scheduling (</w:t>
      </w:r>
      <w:proofErr w:type="spellStart"/>
      <w:r>
        <w:t>a.k.a</w:t>
      </w:r>
      <w:proofErr w:type="spellEnd"/>
      <w:r>
        <w:t xml:space="preserve"> mini-slots). This is useful for several reasons including: (1) </w:t>
      </w:r>
      <w:r w:rsidRPr="00EC23B5">
        <w:t>Multiple starting positions within a slot duration</w:t>
      </w:r>
      <w:r>
        <w:t xml:space="preserve">, (2) </w:t>
      </w:r>
      <w:r w:rsidRPr="00EC23B5">
        <w:t>Faster processing delays and feedback, (3)</w:t>
      </w:r>
      <w:r>
        <w:t xml:space="preserve"> </w:t>
      </w:r>
      <w:r w:rsidRPr="00EC23B5">
        <w:t>Shorter transmission duration than a regular slot which is suitable for small packets (such as TCP ACKS). This kind of flexibility is specially needed for the unlicensed channel operation</w:t>
      </w:r>
      <w:r>
        <w:t xml:space="preserve">. </w:t>
      </w:r>
      <w:r w:rsidRPr="00EC23B5">
        <w:t>For further details on non-</w:t>
      </w:r>
      <w:proofErr w:type="gramStart"/>
      <w:r w:rsidRPr="00EC23B5">
        <w:t>slot based</w:t>
      </w:r>
      <w:proofErr w:type="gramEnd"/>
      <w:r w:rsidRPr="00EC23B5">
        <w:t xml:space="preserve"> scheduling, refer to </w:t>
      </w:r>
      <w:r w:rsidR="00A80C77">
        <w:rPr>
          <w:highlight w:val="yellow"/>
        </w:rPr>
        <w:fldChar w:fldCharType="begin"/>
      </w:r>
      <w:r w:rsidR="00A80C77">
        <w:instrText xml:space="preserve"> REF _Ref506538439 \r \h </w:instrText>
      </w:r>
      <w:r w:rsidR="00A80C77">
        <w:rPr>
          <w:highlight w:val="yellow"/>
        </w:rPr>
      </w:r>
      <w:r w:rsidR="00A80C77">
        <w:rPr>
          <w:highlight w:val="yellow"/>
        </w:rPr>
        <w:fldChar w:fldCharType="separate"/>
      </w:r>
      <w:r w:rsidR="00A21F3E">
        <w:t>[3]</w:t>
      </w:r>
      <w:r w:rsidR="00A80C77">
        <w:rPr>
          <w:highlight w:val="yellow"/>
        </w:rPr>
        <w:fldChar w:fldCharType="end"/>
      </w:r>
      <w:r w:rsidRPr="00EC23B5">
        <w:t xml:space="preserve">. </w:t>
      </w:r>
    </w:p>
    <w:p w14:paraId="30ED6EE1" w14:textId="1DC5E611" w:rsidR="00EC23B5" w:rsidRPr="00B519BD" w:rsidRDefault="00F91878" w:rsidP="00EC23B5">
      <w:pPr>
        <w:pStyle w:val="BodyText"/>
      </w:pPr>
      <w:r>
        <w:t>F</w:t>
      </w:r>
      <w:r w:rsidR="00EC23B5">
        <w:t xml:space="preserve">or </w:t>
      </w:r>
      <w:r w:rsidR="00EC23B5" w:rsidRPr="00B519BD">
        <w:t>Rel-15</w:t>
      </w:r>
      <w:r w:rsidR="00EC23B5">
        <w:t xml:space="preserve"> NR</w:t>
      </w:r>
      <w:r w:rsidR="00EC23B5" w:rsidRPr="00B519BD">
        <w:t xml:space="preserve"> the following restrictions were made: </w:t>
      </w:r>
    </w:p>
    <w:p w14:paraId="09B135F6" w14:textId="77777777" w:rsidR="00EC23B5" w:rsidRPr="00EC23B5" w:rsidRDefault="00EC23B5" w:rsidP="00EC23B5">
      <w:pPr>
        <w:pStyle w:val="BodyText"/>
        <w:numPr>
          <w:ilvl w:val="0"/>
          <w:numId w:val="15"/>
        </w:numPr>
      </w:pPr>
      <w:r w:rsidRPr="00EC23B5">
        <w:t>The maximum number of CORESETs per BWP per cell is 3, meaning that the maximum starting points within a slot are 3.</w:t>
      </w:r>
    </w:p>
    <w:p w14:paraId="6E6FCF25" w14:textId="77777777" w:rsidR="00EC23B5" w:rsidRPr="00EC23B5" w:rsidRDefault="00EC23B5" w:rsidP="00EC23B5">
      <w:pPr>
        <w:pStyle w:val="BodyText"/>
        <w:numPr>
          <w:ilvl w:val="0"/>
          <w:numId w:val="15"/>
        </w:numPr>
      </w:pPr>
      <w:r w:rsidRPr="00EC23B5">
        <w:t>PDSCH/PUSCH duration limited to 2, 4, and 7 symbols beside the full slot transmission.</w:t>
      </w:r>
    </w:p>
    <w:p w14:paraId="526AA1CC" w14:textId="77777777" w:rsidR="00EC23B5" w:rsidRPr="00B519BD" w:rsidRDefault="00EC23B5" w:rsidP="00EC23B5">
      <w:pPr>
        <w:pStyle w:val="BodyText"/>
      </w:pPr>
      <w:r>
        <w:t xml:space="preserve">Even with limited starting points, given the larger subcarrier spacings, NR-U can still achieve fine channel access granularity. </w:t>
      </w:r>
    </w:p>
    <w:p w14:paraId="6BEA4EE5" w14:textId="4AE6F84C" w:rsidR="00960DFD" w:rsidRPr="00EC23B5" w:rsidRDefault="00EC23B5" w:rsidP="00EC23B5">
      <w:pPr>
        <w:pStyle w:val="Proposal"/>
        <w:rPr>
          <w:rFonts w:ascii="Times New Roman" w:hAnsi="Times New Roman"/>
          <w:sz w:val="22"/>
        </w:rPr>
      </w:pPr>
      <w:bookmarkStart w:id="9" w:name="_Toc506553712"/>
      <w:r w:rsidRPr="00EC23B5">
        <w:rPr>
          <w:rFonts w:ascii="Times New Roman" w:hAnsi="Times New Roman"/>
          <w:sz w:val="22"/>
        </w:rPr>
        <w:t>NR-U should support non-</w:t>
      </w:r>
      <w:proofErr w:type="gramStart"/>
      <w:r w:rsidRPr="00EC23B5">
        <w:rPr>
          <w:rFonts w:ascii="Times New Roman" w:hAnsi="Times New Roman"/>
          <w:sz w:val="22"/>
        </w:rPr>
        <w:t>slot based</w:t>
      </w:r>
      <w:proofErr w:type="gramEnd"/>
      <w:r w:rsidRPr="00EC23B5">
        <w:rPr>
          <w:rFonts w:ascii="Times New Roman" w:hAnsi="Times New Roman"/>
          <w:sz w:val="22"/>
        </w:rPr>
        <w:t xml:space="preserve"> scheduling.</w:t>
      </w:r>
      <w:bookmarkEnd w:id="9"/>
    </w:p>
    <w:p w14:paraId="2EED621F" w14:textId="45633A85" w:rsidR="00960DFD" w:rsidRPr="00960DFD" w:rsidRDefault="00960DFD" w:rsidP="00960DFD">
      <w:pPr>
        <w:pStyle w:val="Heading2"/>
      </w:pPr>
      <w:r w:rsidRPr="00066B2B">
        <w:t>Interlac</w:t>
      </w:r>
      <w:r w:rsidR="002B0FD8">
        <w:t>e</w:t>
      </w:r>
      <w:r w:rsidRPr="00066B2B">
        <w:t xml:space="preserve"> Design for Uplink</w:t>
      </w:r>
    </w:p>
    <w:p w14:paraId="63890B25" w14:textId="3A84C563" w:rsidR="001B2A6E" w:rsidRDefault="001B2A6E" w:rsidP="0099719D">
      <w:pPr>
        <w:pStyle w:val="BodyText"/>
      </w:pPr>
      <w:r>
        <w:t>Two requirements are commonly found in regulations</w:t>
      </w:r>
      <w:r w:rsidR="00955663">
        <w:t xml:space="preserve"> for operations in unlicensed spectrum</w:t>
      </w:r>
      <w:r w:rsidR="00FC04EF">
        <w:t>s</w:t>
      </w:r>
      <w:r>
        <w:t>:</w:t>
      </w:r>
    </w:p>
    <w:p w14:paraId="0C2E1174" w14:textId="77777777" w:rsidR="00D4336E" w:rsidRDefault="001B2A6E" w:rsidP="003D63F9">
      <w:pPr>
        <w:pStyle w:val="BodyText"/>
        <w:numPr>
          <w:ilvl w:val="0"/>
          <w:numId w:val="17"/>
        </w:numPr>
        <w:spacing w:before="240" w:after="0" w:line="360" w:lineRule="auto"/>
        <w:ind w:left="567"/>
        <w:contextualSpacing/>
      </w:pPr>
      <w:r w:rsidRPr="00313E98">
        <w:t xml:space="preserve">Occupied channel </w:t>
      </w:r>
      <w:r>
        <w:t>bandwidth.</w:t>
      </w:r>
    </w:p>
    <w:p w14:paraId="36403B86" w14:textId="3E66E363" w:rsidR="001B2A6E" w:rsidRDefault="001B2A6E" w:rsidP="003D63F9">
      <w:pPr>
        <w:pStyle w:val="BodyText"/>
        <w:numPr>
          <w:ilvl w:val="0"/>
          <w:numId w:val="17"/>
        </w:numPr>
        <w:spacing w:before="240" w:after="0" w:line="360" w:lineRule="auto"/>
        <w:ind w:left="567"/>
        <w:contextualSpacing/>
      </w:pPr>
      <w:r>
        <w:t>Maximum Power Spectral Density (PSD)</w:t>
      </w:r>
      <w:r w:rsidR="00955663">
        <w:t>.</w:t>
      </w:r>
    </w:p>
    <w:p w14:paraId="58EF3408" w14:textId="48881252" w:rsidR="0004437C" w:rsidRDefault="0004437C" w:rsidP="0099719D">
      <w:pPr>
        <w:pStyle w:val="BodyText"/>
      </w:pPr>
      <w:r>
        <w:t xml:space="preserve">The occupied bandwidth requirement is expressed as </w:t>
      </w:r>
      <w:r w:rsidRPr="00D24148">
        <w:t xml:space="preserve">the bandwidth containing 99% of the power of the signal </w:t>
      </w:r>
      <w:r w:rsidR="00B8687A">
        <w:t xml:space="preserve">and </w:t>
      </w:r>
      <w:r w:rsidRPr="00D24148">
        <w:t>shall be between 80% and 100% of the declared Nominal Channel Bandwidth</w:t>
      </w:r>
      <w:r w:rsidR="001E35D5">
        <w:t xml:space="preserve"> </w:t>
      </w:r>
      <w:r w:rsidR="001E35D5">
        <w:fldChar w:fldCharType="begin"/>
      </w:r>
      <w:r w:rsidR="001E35D5">
        <w:instrText xml:space="preserve"> REF _Ref506538725 \r \h </w:instrText>
      </w:r>
      <w:r w:rsidR="001E35D5">
        <w:fldChar w:fldCharType="separate"/>
      </w:r>
      <w:r w:rsidR="00A21F3E">
        <w:t>[4]</w:t>
      </w:r>
      <w:r w:rsidR="001E35D5">
        <w:fldChar w:fldCharType="end"/>
      </w:r>
      <w:r>
        <w:t>.</w:t>
      </w:r>
      <w:r w:rsidRPr="0004437C">
        <w:t xml:space="preserve"> </w:t>
      </w:r>
      <w:r>
        <w:t xml:space="preserve">Maximum PSD requirements exist in many different regions. For most cases the requirement is stated with a resolution bandwidth of 1 MHz. For example, the ETSI 301 893 specs requires 10 dBm/MHz for 5150-5350 MHz. </w:t>
      </w:r>
      <w:r w:rsidR="00244194">
        <w:t xml:space="preserve">The implication of the PSD requirement on the physical layer design is that, without proper designs, a signal with small transmission bandwidth will be limited in transmission power. This can negatively affect </w:t>
      </w:r>
      <w:r w:rsidR="00B8687A">
        <w:t xml:space="preserve">the </w:t>
      </w:r>
      <w:r w:rsidR="00244194">
        <w:t>coverage.</w:t>
      </w:r>
    </w:p>
    <w:p w14:paraId="182BCE6B" w14:textId="13F2B341" w:rsidR="00D64289" w:rsidRDefault="00D64289" w:rsidP="0099719D">
      <w:pPr>
        <w:pStyle w:val="BodyText"/>
      </w:pPr>
      <w:r>
        <w:t xml:space="preserve">In LTE-based LAA, </w:t>
      </w:r>
      <w:r w:rsidRPr="00D64289">
        <w:t>interlac</w:t>
      </w:r>
      <w:r w:rsidR="00414157">
        <w:t>ing</w:t>
      </w:r>
      <w:r w:rsidRPr="00D64289">
        <w:t xml:space="preserve"> transmissions have been used in UL transmissions to allow the UEs to transmit with higher transmission powers </w:t>
      </w:r>
      <w:r w:rsidR="006922DC" w:rsidRPr="006922DC">
        <w:t xml:space="preserve">(and, to a lesser extent, to satisfy the </w:t>
      </w:r>
      <w:r w:rsidR="006922DC">
        <w:t>occupied channel ban</w:t>
      </w:r>
      <w:r w:rsidR="00D51B22">
        <w:t>d</w:t>
      </w:r>
      <w:r w:rsidR="006922DC">
        <w:t>width</w:t>
      </w:r>
      <w:r w:rsidR="006922DC" w:rsidRPr="006922DC">
        <w:t xml:space="preserve"> requirement)</w:t>
      </w:r>
      <w:r w:rsidR="006922DC">
        <w:t xml:space="preserve"> </w:t>
      </w:r>
      <w:r w:rsidRPr="00D64289">
        <w:t>even</w:t>
      </w:r>
      <w:r w:rsidR="00471BDF">
        <w:t xml:space="preserve"> when </w:t>
      </w:r>
      <w:r w:rsidR="008A0F30">
        <w:t>the scheduled bandwi</w:t>
      </w:r>
      <w:r w:rsidR="00737D85">
        <w:t xml:space="preserve">dth need is small. </w:t>
      </w:r>
      <w:r w:rsidR="00D51B22">
        <w:t xml:space="preserve">It is expected that </w:t>
      </w:r>
      <w:r w:rsidR="00D51B22" w:rsidRPr="00D64289">
        <w:t>interla</w:t>
      </w:r>
      <w:r w:rsidR="00D51B22">
        <w:t>c</w:t>
      </w:r>
      <w:r w:rsidR="00414157">
        <w:t>ing</w:t>
      </w:r>
      <w:r w:rsidR="00D51B22">
        <w:t xml:space="preserve"> </w:t>
      </w:r>
      <w:r w:rsidR="00D51B22" w:rsidRPr="00D64289">
        <w:t>transmissions</w:t>
      </w:r>
      <w:r w:rsidR="00D51B22">
        <w:t xml:space="preserve"> </w:t>
      </w:r>
      <w:r w:rsidR="00737D85">
        <w:t>is</w:t>
      </w:r>
      <w:r w:rsidR="00D51B22">
        <w:t xml:space="preserve"> also beneficial </w:t>
      </w:r>
      <w:r w:rsidR="00737D85">
        <w:t>for</w:t>
      </w:r>
      <w:r w:rsidR="00D51B22">
        <w:t xml:space="preserve"> UL transmissions </w:t>
      </w:r>
      <w:r w:rsidR="00737D85">
        <w:t>in</w:t>
      </w:r>
      <w:r w:rsidR="00D51B22">
        <w:t xml:space="preserve"> NR-U.</w:t>
      </w:r>
    </w:p>
    <w:p w14:paraId="2BC5677B" w14:textId="77777777" w:rsidR="005E0E1B" w:rsidRPr="005E0E1B" w:rsidRDefault="005E0E1B" w:rsidP="0099719D">
      <w:pPr>
        <w:pStyle w:val="BodyText"/>
      </w:pPr>
    </w:p>
    <w:p w14:paraId="3314708C" w14:textId="1670D98A" w:rsidR="00D51B22" w:rsidRPr="005E0E1B" w:rsidRDefault="00414157" w:rsidP="0099719D">
      <w:pPr>
        <w:pStyle w:val="Proposal"/>
        <w:rPr>
          <w:rFonts w:ascii="Times New Roman" w:hAnsi="Times New Roman"/>
          <w:sz w:val="22"/>
        </w:rPr>
      </w:pPr>
      <w:bookmarkStart w:id="10" w:name="_Toc506553713"/>
      <w:r>
        <w:rPr>
          <w:rFonts w:ascii="Times New Roman" w:hAnsi="Times New Roman"/>
          <w:sz w:val="22"/>
        </w:rPr>
        <w:t xml:space="preserve">Adopt </w:t>
      </w:r>
      <w:r w:rsidR="00D51B22" w:rsidRPr="005E0E1B">
        <w:rPr>
          <w:rFonts w:ascii="Times New Roman" w:hAnsi="Times New Roman"/>
          <w:sz w:val="22"/>
        </w:rPr>
        <w:t>interlac</w:t>
      </w:r>
      <w:r w:rsidR="00446B39">
        <w:rPr>
          <w:rFonts w:ascii="Times New Roman" w:hAnsi="Times New Roman"/>
          <w:sz w:val="22"/>
        </w:rPr>
        <w:t>ing</w:t>
      </w:r>
      <w:r w:rsidR="00D51B22" w:rsidRPr="005E0E1B">
        <w:rPr>
          <w:rFonts w:ascii="Times New Roman" w:hAnsi="Times New Roman"/>
          <w:sz w:val="22"/>
        </w:rPr>
        <w:t xml:space="preserve"> transmissions for </w:t>
      </w:r>
      <w:r>
        <w:rPr>
          <w:rFonts w:ascii="Times New Roman" w:hAnsi="Times New Roman"/>
          <w:sz w:val="22"/>
        </w:rPr>
        <w:t xml:space="preserve">NR-U </w:t>
      </w:r>
      <w:r w:rsidR="00D51B22" w:rsidRPr="005E0E1B">
        <w:rPr>
          <w:rFonts w:ascii="Times New Roman" w:hAnsi="Times New Roman"/>
          <w:sz w:val="22"/>
        </w:rPr>
        <w:t>UL.</w:t>
      </w:r>
      <w:bookmarkEnd w:id="10"/>
    </w:p>
    <w:p w14:paraId="1007D6DA" w14:textId="77777777" w:rsidR="005E0E1B" w:rsidRPr="00F63C5D" w:rsidRDefault="005E0E1B" w:rsidP="0099719D">
      <w:pPr>
        <w:pStyle w:val="Proposal"/>
        <w:numPr>
          <w:ilvl w:val="0"/>
          <w:numId w:val="0"/>
        </w:numPr>
        <w:ind w:left="1304"/>
        <w:rPr>
          <w:sz w:val="22"/>
        </w:rPr>
      </w:pPr>
    </w:p>
    <w:p w14:paraId="3ECF0851" w14:textId="656365E0" w:rsidR="00D51B22" w:rsidRDefault="00D51B22" w:rsidP="0099719D">
      <w:pPr>
        <w:jc w:val="both"/>
        <w:rPr>
          <w:rStyle w:val="IvDbodytextChar"/>
          <w:rFonts w:ascii="Times New Roman" w:hAnsi="Times New Roman"/>
          <w:sz w:val="22"/>
          <w:szCs w:val="22"/>
        </w:rPr>
      </w:pPr>
      <w:r w:rsidRPr="005E0E1B">
        <w:rPr>
          <w:rStyle w:val="IvDbodytextChar"/>
          <w:rFonts w:ascii="Times New Roman" w:hAnsi="Times New Roman"/>
          <w:sz w:val="22"/>
          <w:szCs w:val="22"/>
        </w:rPr>
        <w:t xml:space="preserve">Different from </w:t>
      </w:r>
      <w:r w:rsidRPr="005E0E1B">
        <w:rPr>
          <w:sz w:val="22"/>
          <w:szCs w:val="22"/>
        </w:rPr>
        <w:t>LTE-based LAA</w:t>
      </w:r>
      <w:r w:rsidRPr="005E0E1B">
        <w:rPr>
          <w:rStyle w:val="IvDbodytextChar"/>
          <w:rFonts w:ascii="Times New Roman" w:hAnsi="Times New Roman"/>
          <w:sz w:val="22"/>
          <w:szCs w:val="22"/>
        </w:rPr>
        <w:t>,</w:t>
      </w:r>
      <w:r w:rsidR="005E0E1B" w:rsidRPr="005E0E1B">
        <w:rPr>
          <w:rStyle w:val="IvDbodytextChar"/>
          <w:rFonts w:ascii="Times New Roman" w:hAnsi="Times New Roman"/>
          <w:sz w:val="22"/>
          <w:szCs w:val="22"/>
        </w:rPr>
        <w:t xml:space="preserve"> it is expected that</w:t>
      </w:r>
      <w:r w:rsidRPr="005E0E1B">
        <w:rPr>
          <w:rStyle w:val="IvDbodytextChar"/>
          <w:rFonts w:ascii="Times New Roman" w:hAnsi="Times New Roman"/>
          <w:sz w:val="22"/>
          <w:szCs w:val="22"/>
        </w:rPr>
        <w:t xml:space="preserve"> </w:t>
      </w:r>
      <w:r w:rsidR="005E0E1B" w:rsidRPr="005E0E1B">
        <w:rPr>
          <w:sz w:val="22"/>
          <w:szCs w:val="22"/>
        </w:rPr>
        <w:t>t</w:t>
      </w:r>
      <w:r w:rsidRPr="005E0E1B">
        <w:rPr>
          <w:sz w:val="22"/>
          <w:szCs w:val="22"/>
        </w:rPr>
        <w:t xml:space="preserve">here are more </w:t>
      </w:r>
      <w:r w:rsidR="005E0E1B">
        <w:rPr>
          <w:sz w:val="22"/>
          <w:szCs w:val="22"/>
        </w:rPr>
        <w:t xml:space="preserve">interlace </w:t>
      </w:r>
      <w:r w:rsidRPr="005E0E1B">
        <w:rPr>
          <w:sz w:val="22"/>
          <w:szCs w:val="22"/>
        </w:rPr>
        <w:t xml:space="preserve">options for </w:t>
      </w:r>
      <w:r w:rsidR="005E0E1B" w:rsidRPr="005E0E1B">
        <w:rPr>
          <w:sz w:val="22"/>
          <w:szCs w:val="22"/>
        </w:rPr>
        <w:t>UL transmissions</w:t>
      </w:r>
      <w:r w:rsidRPr="005E0E1B">
        <w:rPr>
          <w:sz w:val="22"/>
          <w:szCs w:val="22"/>
        </w:rPr>
        <w:t xml:space="preserve"> according to </w:t>
      </w:r>
      <w:r w:rsidR="005E0E1B">
        <w:rPr>
          <w:sz w:val="22"/>
          <w:szCs w:val="22"/>
        </w:rPr>
        <w:t>flexible</w:t>
      </w:r>
      <w:r w:rsidRPr="005E0E1B">
        <w:rPr>
          <w:sz w:val="22"/>
          <w:szCs w:val="22"/>
        </w:rPr>
        <w:t xml:space="preserve"> </w:t>
      </w:r>
      <w:r w:rsidR="005E0E1B" w:rsidRPr="005E0E1B">
        <w:rPr>
          <w:sz w:val="22"/>
          <w:szCs w:val="22"/>
        </w:rPr>
        <w:t xml:space="preserve">supported </w:t>
      </w:r>
      <w:r w:rsidRPr="005E0E1B">
        <w:rPr>
          <w:sz w:val="22"/>
          <w:szCs w:val="22"/>
        </w:rPr>
        <w:t>system bandwidth sizes and SCSs in NR-U</w:t>
      </w:r>
      <w:r w:rsidR="005E0E1B" w:rsidRPr="005E0E1B">
        <w:rPr>
          <w:sz w:val="22"/>
          <w:szCs w:val="22"/>
        </w:rPr>
        <w:t>. Thus, the structure</w:t>
      </w:r>
      <w:r w:rsidR="0092489E">
        <w:rPr>
          <w:sz w:val="22"/>
          <w:szCs w:val="22"/>
        </w:rPr>
        <w:t xml:space="preserve"> of interlace</w:t>
      </w:r>
      <w:r w:rsidR="005E0E1B" w:rsidRPr="005E0E1B">
        <w:rPr>
          <w:sz w:val="22"/>
          <w:szCs w:val="22"/>
        </w:rPr>
        <w:t xml:space="preserve"> (e.g., the number of interlaces and t</w:t>
      </w:r>
      <w:r w:rsidR="002B0FD8">
        <w:rPr>
          <w:sz w:val="22"/>
          <w:szCs w:val="22"/>
        </w:rPr>
        <w:t>he number of PRBs per interlace</w:t>
      </w:r>
      <w:r w:rsidR="005E0E1B" w:rsidRPr="005E0E1B">
        <w:rPr>
          <w:sz w:val="22"/>
          <w:szCs w:val="22"/>
        </w:rPr>
        <w:t>) should be re-designed for NR-U.</w:t>
      </w:r>
      <w:r w:rsidRPr="005E0E1B">
        <w:rPr>
          <w:sz w:val="22"/>
          <w:szCs w:val="22"/>
        </w:rPr>
        <w:t xml:space="preserve"> </w:t>
      </w:r>
      <w:r w:rsidRPr="005E0E1B">
        <w:rPr>
          <w:rStyle w:val="IvDbodytextChar"/>
          <w:rFonts w:ascii="Times New Roman" w:hAnsi="Times New Roman"/>
          <w:sz w:val="22"/>
          <w:szCs w:val="22"/>
        </w:rPr>
        <w:t xml:space="preserve">We observe </w:t>
      </w:r>
      <w:proofErr w:type="gramStart"/>
      <w:r w:rsidRPr="005E0E1B">
        <w:rPr>
          <w:rStyle w:val="IvDbodytextChar"/>
          <w:rFonts w:ascii="Times New Roman" w:hAnsi="Times New Roman"/>
          <w:sz w:val="22"/>
          <w:szCs w:val="22"/>
        </w:rPr>
        <w:t>a number of</w:t>
      </w:r>
      <w:proofErr w:type="gramEnd"/>
      <w:r w:rsidRPr="005E0E1B">
        <w:rPr>
          <w:rStyle w:val="IvDbodytextChar"/>
          <w:rFonts w:ascii="Times New Roman" w:hAnsi="Times New Roman"/>
          <w:sz w:val="22"/>
          <w:szCs w:val="22"/>
        </w:rPr>
        <w:t xml:space="preserve"> design criteria, listed below, for a good interlac</w:t>
      </w:r>
      <w:r w:rsidR="002B0FD8">
        <w:rPr>
          <w:rStyle w:val="IvDbodytextChar"/>
          <w:rFonts w:ascii="Times New Roman" w:hAnsi="Times New Roman"/>
          <w:sz w:val="22"/>
          <w:szCs w:val="22"/>
        </w:rPr>
        <w:t>e</w:t>
      </w:r>
      <w:r w:rsidRPr="005E0E1B">
        <w:rPr>
          <w:rStyle w:val="IvDbodytextChar"/>
          <w:rFonts w:ascii="Times New Roman" w:hAnsi="Times New Roman"/>
          <w:sz w:val="22"/>
          <w:szCs w:val="22"/>
        </w:rPr>
        <w:t xml:space="preserve"> design for the uplink in NR-U.</w:t>
      </w:r>
    </w:p>
    <w:p w14:paraId="29DECF43" w14:textId="77777777" w:rsidR="005E0E1B" w:rsidRPr="00BB7F9E" w:rsidRDefault="005E0E1B" w:rsidP="0099719D">
      <w:pPr>
        <w:jc w:val="both"/>
        <w:rPr>
          <w:rStyle w:val="IvDbodytextChar"/>
          <w:rFonts w:ascii="Times New Roman" w:hAnsi="Times New Roman"/>
          <w:sz w:val="22"/>
          <w:szCs w:val="22"/>
        </w:rPr>
      </w:pPr>
    </w:p>
    <w:p w14:paraId="7A48E790" w14:textId="516CED19" w:rsidR="000D04EB" w:rsidRDefault="000D04EB" w:rsidP="003D63F9">
      <w:pPr>
        <w:pStyle w:val="ListParagraph"/>
        <w:numPr>
          <w:ilvl w:val="0"/>
          <w:numId w:val="18"/>
        </w:numPr>
        <w:overflowPunct w:val="0"/>
        <w:autoSpaceDE w:val="0"/>
        <w:autoSpaceDN w:val="0"/>
        <w:adjustRightInd w:val="0"/>
        <w:spacing w:after="120"/>
        <w:contextualSpacing/>
        <w:jc w:val="both"/>
        <w:textAlignment w:val="baseline"/>
        <w:rPr>
          <w:rStyle w:val="IvDbodytextChar"/>
          <w:rFonts w:ascii="Times New Roman" w:hAnsi="Times New Roman" w:cs="Times New Roman"/>
        </w:rPr>
      </w:pPr>
      <w:r w:rsidRPr="00BB7F9E">
        <w:rPr>
          <w:rStyle w:val="IvDbodytextChar"/>
          <w:rFonts w:ascii="Times New Roman" w:hAnsi="Times New Roman" w:cs="Times New Roman"/>
        </w:rPr>
        <w:t>High output power</w:t>
      </w:r>
    </w:p>
    <w:p w14:paraId="5AD0AC60" w14:textId="77777777" w:rsidR="00C41FBF" w:rsidRPr="00BB7F9E" w:rsidRDefault="00C41FBF" w:rsidP="00C41FBF">
      <w:pPr>
        <w:pStyle w:val="ListParagraph"/>
        <w:overflowPunct w:val="0"/>
        <w:autoSpaceDE w:val="0"/>
        <w:autoSpaceDN w:val="0"/>
        <w:adjustRightInd w:val="0"/>
        <w:spacing w:after="120"/>
        <w:contextualSpacing/>
        <w:jc w:val="both"/>
        <w:textAlignment w:val="baseline"/>
        <w:rPr>
          <w:rStyle w:val="IvDbodytextChar"/>
          <w:rFonts w:ascii="Times New Roman" w:hAnsi="Times New Roman" w:cs="Times New Roman"/>
        </w:rPr>
      </w:pPr>
    </w:p>
    <w:p w14:paraId="4593922B" w14:textId="74370AA1" w:rsidR="000D04EB" w:rsidRDefault="00C41FBF" w:rsidP="0099719D">
      <w:pPr>
        <w:pStyle w:val="ListParagraph"/>
        <w:jc w:val="both"/>
        <w:rPr>
          <w:rStyle w:val="IvDbodytextChar"/>
          <w:rFonts w:ascii="Times New Roman" w:hAnsi="Times New Roman" w:cs="Times New Roman"/>
        </w:rPr>
      </w:pPr>
      <w:r w:rsidRPr="00C41FBF">
        <w:rPr>
          <w:rStyle w:val="IvDbodytextChar"/>
          <w:rFonts w:ascii="Times New Roman" w:hAnsi="Times New Roman" w:cs="Times New Roman"/>
        </w:rPr>
        <w:t xml:space="preserve">One of the main benefits of interlacing transmissions is to allow high output power without exceeding the ETSI maximum PSD requirement when the scheduled bandwidth need is small. Preferably a single interlace should allow the use of an output power close to the maximum according to the regulations. </w:t>
      </w:r>
      <w:proofErr w:type="gramStart"/>
      <w:r w:rsidRPr="00C41FBF">
        <w:rPr>
          <w:rStyle w:val="IvDbodytextChar"/>
          <w:rFonts w:ascii="Times New Roman" w:hAnsi="Times New Roman" w:cs="Times New Roman"/>
        </w:rPr>
        <w:t>In order to</w:t>
      </w:r>
      <w:proofErr w:type="gramEnd"/>
      <w:r w:rsidRPr="00C41FBF">
        <w:rPr>
          <w:rStyle w:val="IvDbodytextChar"/>
          <w:rFonts w:ascii="Times New Roman" w:hAnsi="Times New Roman" w:cs="Times New Roman"/>
        </w:rPr>
        <w:t xml:space="preserve"> maximize the benefit of interlacing, the minimum distance between two RBs allocated within an interlace should be larger than the PSD requirement measurement bandwidth of 1 MHz, while allocating as many RBs as possible so as to spread the power over as many RBs as possible.</w:t>
      </w:r>
    </w:p>
    <w:p w14:paraId="7E9FB38D" w14:textId="77777777" w:rsidR="00C41FBF" w:rsidRPr="00BB7F9E" w:rsidRDefault="00C41FBF" w:rsidP="0099719D">
      <w:pPr>
        <w:pStyle w:val="ListParagraph"/>
        <w:jc w:val="both"/>
        <w:rPr>
          <w:rStyle w:val="IvDbodytextChar"/>
          <w:rFonts w:ascii="Times New Roman" w:hAnsi="Times New Roman" w:cs="Times New Roman"/>
        </w:rPr>
      </w:pPr>
    </w:p>
    <w:p w14:paraId="495B5589" w14:textId="6BEF6D78" w:rsidR="000D04EB" w:rsidRDefault="000D04EB" w:rsidP="003D63F9">
      <w:pPr>
        <w:pStyle w:val="ListParagraph"/>
        <w:numPr>
          <w:ilvl w:val="0"/>
          <w:numId w:val="18"/>
        </w:numPr>
        <w:overflowPunct w:val="0"/>
        <w:autoSpaceDE w:val="0"/>
        <w:autoSpaceDN w:val="0"/>
        <w:adjustRightInd w:val="0"/>
        <w:spacing w:after="120"/>
        <w:contextualSpacing/>
        <w:jc w:val="both"/>
        <w:textAlignment w:val="baseline"/>
        <w:rPr>
          <w:rStyle w:val="IvDbodytextChar"/>
          <w:rFonts w:ascii="Times New Roman" w:hAnsi="Times New Roman" w:cs="Times New Roman"/>
        </w:rPr>
      </w:pPr>
      <w:r w:rsidRPr="00BB7F9E">
        <w:rPr>
          <w:rStyle w:val="IvDbodytextChar"/>
          <w:rFonts w:ascii="Times New Roman" w:hAnsi="Times New Roman" w:cs="Times New Roman"/>
        </w:rPr>
        <w:t>Flexible resource allocations</w:t>
      </w:r>
    </w:p>
    <w:p w14:paraId="5B478582" w14:textId="77777777" w:rsidR="00C41FBF" w:rsidRPr="00BB7F9E" w:rsidRDefault="00C41FBF" w:rsidP="00C41FBF">
      <w:pPr>
        <w:pStyle w:val="ListParagraph"/>
        <w:overflowPunct w:val="0"/>
        <w:autoSpaceDE w:val="0"/>
        <w:autoSpaceDN w:val="0"/>
        <w:adjustRightInd w:val="0"/>
        <w:spacing w:after="120"/>
        <w:contextualSpacing/>
        <w:jc w:val="both"/>
        <w:textAlignment w:val="baseline"/>
        <w:rPr>
          <w:rStyle w:val="IvDbodytextChar"/>
          <w:rFonts w:ascii="Times New Roman" w:hAnsi="Times New Roman" w:cs="Times New Roman"/>
        </w:rPr>
      </w:pPr>
    </w:p>
    <w:p w14:paraId="4FED4169" w14:textId="5AD428E4" w:rsidR="000D04EB" w:rsidRPr="00BB7F9E" w:rsidRDefault="000D04EB" w:rsidP="0099719D">
      <w:pPr>
        <w:pStyle w:val="ListParagraph"/>
        <w:jc w:val="both"/>
        <w:rPr>
          <w:rStyle w:val="IvDbodytextChar"/>
          <w:rFonts w:ascii="Times New Roman" w:hAnsi="Times New Roman" w:cs="Times New Roman"/>
        </w:rPr>
      </w:pPr>
      <w:r w:rsidRPr="00BB7F9E">
        <w:rPr>
          <w:rStyle w:val="IvDbodytextChar"/>
          <w:rFonts w:ascii="Times New Roman" w:hAnsi="Times New Roman" w:cs="Times New Roman"/>
        </w:rPr>
        <w:t>A good interlac</w:t>
      </w:r>
      <w:r w:rsidR="002B0FD8">
        <w:rPr>
          <w:rStyle w:val="IvDbodytextChar"/>
          <w:rFonts w:ascii="Times New Roman" w:hAnsi="Times New Roman" w:cs="Times New Roman"/>
        </w:rPr>
        <w:t>e</w:t>
      </w:r>
      <w:r w:rsidRPr="00BB7F9E">
        <w:rPr>
          <w:rStyle w:val="IvDbodytextChar"/>
          <w:rFonts w:ascii="Times New Roman" w:hAnsi="Times New Roman" w:cs="Times New Roman"/>
        </w:rPr>
        <w:t xml:space="preserve"> design needs to have a reasonably high number of interlaces, to allow for flexible scheduling </w:t>
      </w:r>
      <w:r w:rsidR="00C41FBF">
        <w:rPr>
          <w:rStyle w:val="IvDbodytextChar"/>
          <w:rFonts w:ascii="Times New Roman" w:hAnsi="Times New Roman" w:cs="Times New Roman"/>
        </w:rPr>
        <w:t xml:space="preserve">granularity </w:t>
      </w:r>
      <w:r w:rsidRPr="00BB7F9E">
        <w:rPr>
          <w:rStyle w:val="IvDbodytextChar"/>
          <w:rFonts w:ascii="Times New Roman" w:hAnsi="Times New Roman" w:cs="Times New Roman"/>
        </w:rPr>
        <w:t xml:space="preserve">and high multiplexing capacity on PUSCH, PUCCH, PRACH, and so on. An </w:t>
      </w:r>
      <w:proofErr w:type="spellStart"/>
      <w:r w:rsidRPr="00BB7F9E">
        <w:rPr>
          <w:rStyle w:val="IvDbodytextChar"/>
          <w:rFonts w:ascii="Times New Roman" w:hAnsi="Times New Roman" w:cs="Times New Roman"/>
        </w:rPr>
        <w:t>interlac</w:t>
      </w:r>
      <w:r w:rsidR="002B0FD8">
        <w:rPr>
          <w:rStyle w:val="IvDbodytextChar"/>
          <w:rFonts w:ascii="Times New Roman" w:hAnsi="Times New Roman" w:cs="Times New Roman"/>
        </w:rPr>
        <w:t>e</w:t>
      </w:r>
      <w:proofErr w:type="spellEnd"/>
      <w:r w:rsidRPr="00BB7F9E">
        <w:rPr>
          <w:rStyle w:val="IvDbodytextChar"/>
          <w:rFonts w:ascii="Times New Roman" w:hAnsi="Times New Roman" w:cs="Times New Roman"/>
        </w:rPr>
        <w:t xml:space="preserve"> design with larger number of interlaces would result in </w:t>
      </w:r>
      <w:r w:rsidRPr="00BB7F9E">
        <w:rPr>
          <w:rFonts w:ascii="Times New Roman" w:hAnsi="Times New Roman" w:cs="Times New Roman"/>
        </w:rPr>
        <w:t>a higher granularity in the amount of resources allocated to one UE.</w:t>
      </w:r>
      <w:r w:rsidRPr="00BB7F9E">
        <w:rPr>
          <w:rStyle w:val="IvDbodytextChar"/>
          <w:rFonts w:ascii="Times New Roman" w:hAnsi="Times New Roman" w:cs="Times New Roman"/>
        </w:rPr>
        <w:t xml:space="preserve"> </w:t>
      </w:r>
    </w:p>
    <w:p w14:paraId="5BF32E69" w14:textId="77777777" w:rsidR="000D04EB" w:rsidRPr="00BB7F9E" w:rsidRDefault="000D04EB" w:rsidP="0099719D">
      <w:pPr>
        <w:pStyle w:val="ListParagraph"/>
        <w:jc w:val="both"/>
        <w:rPr>
          <w:rStyle w:val="IvDbodytextChar"/>
          <w:rFonts w:ascii="Times New Roman" w:hAnsi="Times New Roman" w:cs="Times New Roman"/>
        </w:rPr>
      </w:pPr>
    </w:p>
    <w:p w14:paraId="1B48671C" w14:textId="042E8902" w:rsidR="000D04EB" w:rsidRDefault="00C41FBF" w:rsidP="003D63F9">
      <w:pPr>
        <w:pStyle w:val="ListParagraph"/>
        <w:numPr>
          <w:ilvl w:val="0"/>
          <w:numId w:val="18"/>
        </w:numPr>
        <w:overflowPunct w:val="0"/>
        <w:autoSpaceDE w:val="0"/>
        <w:autoSpaceDN w:val="0"/>
        <w:adjustRightInd w:val="0"/>
        <w:spacing w:after="120"/>
        <w:contextualSpacing/>
        <w:jc w:val="both"/>
        <w:textAlignment w:val="baseline"/>
        <w:rPr>
          <w:rStyle w:val="IvDbodytextChar"/>
          <w:rFonts w:ascii="Times New Roman" w:hAnsi="Times New Roman" w:cs="Times New Roman"/>
        </w:rPr>
      </w:pPr>
      <w:r>
        <w:rPr>
          <w:rStyle w:val="IvDbodytextChar"/>
          <w:rFonts w:ascii="Times New Roman" w:hAnsi="Times New Roman" w:cs="Times New Roman"/>
        </w:rPr>
        <w:t>Signa</w:t>
      </w:r>
      <w:r w:rsidRPr="00BB7F9E">
        <w:rPr>
          <w:rStyle w:val="IvDbodytextChar"/>
          <w:rFonts w:ascii="Times New Roman" w:hAnsi="Times New Roman" w:cs="Times New Roman"/>
        </w:rPr>
        <w:t>ling</w:t>
      </w:r>
      <w:r w:rsidR="000D04EB" w:rsidRPr="00BB7F9E">
        <w:rPr>
          <w:rStyle w:val="IvDbodytextChar"/>
          <w:rFonts w:ascii="Times New Roman" w:hAnsi="Times New Roman" w:cs="Times New Roman"/>
        </w:rPr>
        <w:t xml:space="preserve"> overhead </w:t>
      </w:r>
    </w:p>
    <w:p w14:paraId="084AB9AB" w14:textId="77777777" w:rsidR="00C41FBF" w:rsidRPr="00BB7F9E" w:rsidRDefault="00C41FBF" w:rsidP="00C41FBF">
      <w:pPr>
        <w:pStyle w:val="ListParagraph"/>
        <w:overflowPunct w:val="0"/>
        <w:autoSpaceDE w:val="0"/>
        <w:autoSpaceDN w:val="0"/>
        <w:adjustRightInd w:val="0"/>
        <w:spacing w:after="120"/>
        <w:contextualSpacing/>
        <w:jc w:val="both"/>
        <w:textAlignment w:val="baseline"/>
        <w:rPr>
          <w:rStyle w:val="IvDbodytextChar"/>
          <w:rFonts w:ascii="Times New Roman" w:hAnsi="Times New Roman" w:cs="Times New Roman"/>
        </w:rPr>
      </w:pPr>
    </w:p>
    <w:p w14:paraId="2E46FE28" w14:textId="43B07D54" w:rsidR="000D04EB" w:rsidRDefault="00C41FBF" w:rsidP="0099719D">
      <w:pPr>
        <w:pStyle w:val="ListParagraph"/>
        <w:jc w:val="both"/>
        <w:rPr>
          <w:rStyle w:val="IvDbodytextChar"/>
          <w:rFonts w:ascii="Times New Roman" w:hAnsi="Times New Roman" w:cs="Times New Roman"/>
        </w:rPr>
      </w:pPr>
      <w:r w:rsidRPr="00C41FBF">
        <w:rPr>
          <w:rStyle w:val="IvDbodytextChar"/>
          <w:rFonts w:ascii="Times New Roman" w:hAnsi="Times New Roman" w:cs="Times New Roman"/>
        </w:rPr>
        <w:t xml:space="preserve">Although an </w:t>
      </w:r>
      <w:proofErr w:type="spellStart"/>
      <w:r w:rsidRPr="00C41FBF">
        <w:rPr>
          <w:rStyle w:val="IvDbodytextChar"/>
          <w:rFonts w:ascii="Times New Roman" w:hAnsi="Times New Roman" w:cs="Times New Roman"/>
        </w:rPr>
        <w:t>interlace</w:t>
      </w:r>
      <w:proofErr w:type="spellEnd"/>
      <w:r w:rsidRPr="00C41FBF">
        <w:rPr>
          <w:rStyle w:val="IvDbodytextChar"/>
          <w:rFonts w:ascii="Times New Roman" w:hAnsi="Times New Roman" w:cs="Times New Roman"/>
        </w:rPr>
        <w:t xml:space="preserve"> design with higher number of interlaces would be beneficial in term of scheduling flexibility, it would require more signaling overhead as the number of needed bits for frequency domain resource assignment increases with the number of interlaces. Thus, it is preferable to have an </w:t>
      </w:r>
      <w:proofErr w:type="spellStart"/>
      <w:r w:rsidRPr="00C41FBF">
        <w:rPr>
          <w:rStyle w:val="IvDbodytextChar"/>
          <w:rFonts w:ascii="Times New Roman" w:hAnsi="Times New Roman" w:cs="Times New Roman"/>
        </w:rPr>
        <w:t>interlace</w:t>
      </w:r>
      <w:proofErr w:type="spellEnd"/>
      <w:r w:rsidRPr="00C41FBF">
        <w:rPr>
          <w:rStyle w:val="IvDbodytextChar"/>
          <w:rFonts w:ascii="Times New Roman" w:hAnsi="Times New Roman" w:cs="Times New Roman"/>
        </w:rPr>
        <w:t xml:space="preserve"> design with sufficient number of interlaces to balance out the trade-off between scheduling flexibility and signaling overhead.  </w:t>
      </w:r>
    </w:p>
    <w:p w14:paraId="64C4D60E" w14:textId="77777777" w:rsidR="00C41FBF" w:rsidRPr="00BB7F9E" w:rsidRDefault="00C41FBF" w:rsidP="0099719D">
      <w:pPr>
        <w:pStyle w:val="ListParagraph"/>
        <w:jc w:val="both"/>
        <w:rPr>
          <w:rStyle w:val="IvDbodytextChar"/>
          <w:rFonts w:ascii="Times New Roman" w:hAnsi="Times New Roman" w:cs="Times New Roman"/>
        </w:rPr>
      </w:pPr>
    </w:p>
    <w:p w14:paraId="79DD4701" w14:textId="22F4DF1D" w:rsidR="000D04EB" w:rsidRDefault="000D04EB" w:rsidP="003D63F9">
      <w:pPr>
        <w:pStyle w:val="ListParagraph"/>
        <w:numPr>
          <w:ilvl w:val="0"/>
          <w:numId w:val="18"/>
        </w:numPr>
        <w:overflowPunct w:val="0"/>
        <w:autoSpaceDE w:val="0"/>
        <w:autoSpaceDN w:val="0"/>
        <w:adjustRightInd w:val="0"/>
        <w:spacing w:after="120"/>
        <w:contextualSpacing/>
        <w:jc w:val="both"/>
        <w:textAlignment w:val="baseline"/>
        <w:rPr>
          <w:rStyle w:val="IvDbodytextChar"/>
          <w:rFonts w:ascii="Times New Roman" w:hAnsi="Times New Roman" w:cs="Times New Roman"/>
        </w:rPr>
      </w:pPr>
      <w:r w:rsidRPr="00BB7F9E">
        <w:rPr>
          <w:rStyle w:val="IvDbodytextChar"/>
          <w:rFonts w:ascii="Times New Roman" w:hAnsi="Times New Roman" w:cs="Times New Roman"/>
        </w:rPr>
        <w:t>Random access channel</w:t>
      </w:r>
    </w:p>
    <w:p w14:paraId="27202664" w14:textId="77777777" w:rsidR="00C41FBF" w:rsidRPr="00BB7F9E" w:rsidRDefault="00C41FBF" w:rsidP="00C41FBF">
      <w:pPr>
        <w:pStyle w:val="ListParagraph"/>
        <w:overflowPunct w:val="0"/>
        <w:autoSpaceDE w:val="0"/>
        <w:autoSpaceDN w:val="0"/>
        <w:adjustRightInd w:val="0"/>
        <w:spacing w:after="120"/>
        <w:contextualSpacing/>
        <w:jc w:val="both"/>
        <w:textAlignment w:val="baseline"/>
        <w:rPr>
          <w:rStyle w:val="IvDbodytextChar"/>
          <w:rFonts w:ascii="Times New Roman" w:hAnsi="Times New Roman" w:cs="Times New Roman"/>
        </w:rPr>
      </w:pPr>
    </w:p>
    <w:p w14:paraId="38F9F982" w14:textId="6ECCF8A5" w:rsidR="000D04EB" w:rsidRPr="00BB7F9E" w:rsidRDefault="000D04EB" w:rsidP="0099719D">
      <w:pPr>
        <w:pStyle w:val="ListParagraph"/>
        <w:jc w:val="both"/>
        <w:rPr>
          <w:rStyle w:val="IvDbodytextChar"/>
          <w:rFonts w:ascii="Times New Roman" w:hAnsi="Times New Roman" w:cs="Times New Roman"/>
        </w:rPr>
      </w:pPr>
      <w:r w:rsidRPr="00BB7F9E">
        <w:rPr>
          <w:rStyle w:val="IvDbodytextChar"/>
          <w:rFonts w:ascii="Times New Roman" w:hAnsi="Times New Roman" w:cs="Times New Roman"/>
        </w:rPr>
        <w:t xml:space="preserve">It is preferable to have different physical uplink channels, i.e., PUCCH, PUSCH, PRACH, on the same interlace structure, especially PRACH when one would like to avoid the collisions between different UEs when multiple UEs want to access the same NR-U cell simultaneously. In general, </w:t>
      </w:r>
      <w:proofErr w:type="spellStart"/>
      <w:r w:rsidRPr="00BB7F9E">
        <w:rPr>
          <w:rStyle w:val="IvDbodytextChar"/>
          <w:rFonts w:ascii="Times New Roman" w:hAnsi="Times New Roman" w:cs="Times New Roman"/>
        </w:rPr>
        <w:t>Zadoff</w:t>
      </w:r>
      <w:proofErr w:type="spellEnd"/>
      <w:r w:rsidRPr="00BB7F9E">
        <w:rPr>
          <w:rStyle w:val="IvDbodytextChar"/>
          <w:rFonts w:ascii="Times New Roman" w:hAnsi="Times New Roman" w:cs="Times New Roman"/>
        </w:rPr>
        <w:t>-Chu sequences of length 139 is used for short PRACH preambles in NR, which would require approximately 12 PRBs. Thus, the interlac</w:t>
      </w:r>
      <w:r w:rsidR="00D47C3E">
        <w:rPr>
          <w:rStyle w:val="IvDbodytextChar"/>
          <w:rFonts w:ascii="Times New Roman" w:hAnsi="Times New Roman" w:cs="Times New Roman"/>
        </w:rPr>
        <w:t>e</w:t>
      </w:r>
      <w:r w:rsidRPr="00BB7F9E">
        <w:rPr>
          <w:rStyle w:val="IvDbodytextChar"/>
          <w:rFonts w:ascii="Times New Roman" w:hAnsi="Times New Roman" w:cs="Times New Roman"/>
        </w:rPr>
        <w:t xml:space="preserve"> design should also </w:t>
      </w:r>
      <w:proofErr w:type="gramStart"/>
      <w:r w:rsidRPr="00BB7F9E">
        <w:rPr>
          <w:rStyle w:val="IvDbodytextChar"/>
          <w:rFonts w:ascii="Times New Roman" w:hAnsi="Times New Roman" w:cs="Times New Roman"/>
        </w:rPr>
        <w:t>take into account</w:t>
      </w:r>
      <w:proofErr w:type="gramEnd"/>
      <w:r w:rsidRPr="00BB7F9E">
        <w:rPr>
          <w:rStyle w:val="IvDbodytextChar"/>
          <w:rFonts w:ascii="Times New Roman" w:hAnsi="Times New Roman" w:cs="Times New Roman"/>
        </w:rPr>
        <w:t xml:space="preserve"> this aspect so that it could support simultaneous scheduling of PRACH and other physical uplink channels in an efficient way.</w:t>
      </w:r>
    </w:p>
    <w:p w14:paraId="75CA2B79" w14:textId="77777777" w:rsidR="00D51B22" w:rsidRPr="00BB7F9E" w:rsidRDefault="00D51B22" w:rsidP="0099719D">
      <w:pPr>
        <w:jc w:val="both"/>
        <w:rPr>
          <w:rStyle w:val="IvDbodytextChar"/>
          <w:rFonts w:ascii="Times New Roman" w:hAnsi="Times New Roman"/>
          <w:sz w:val="22"/>
          <w:szCs w:val="22"/>
        </w:rPr>
      </w:pPr>
    </w:p>
    <w:p w14:paraId="67F2BEC2" w14:textId="13B54823" w:rsidR="00D51B22" w:rsidRPr="005E0E1B" w:rsidRDefault="00D51B22" w:rsidP="0099719D">
      <w:pPr>
        <w:jc w:val="both"/>
        <w:rPr>
          <w:sz w:val="22"/>
          <w:szCs w:val="22"/>
        </w:rPr>
      </w:pPr>
      <w:r w:rsidRPr="005E0E1B">
        <w:rPr>
          <w:rStyle w:val="IvDbodytextChar"/>
          <w:rFonts w:ascii="Times New Roman" w:hAnsi="Times New Roman"/>
          <w:sz w:val="22"/>
          <w:szCs w:val="22"/>
        </w:rPr>
        <w:t>In general, the above design criteria are decided by either the number of interlaces or the number of PRBs per interlace. Due to the regulation and agreement</w:t>
      </w:r>
      <w:r w:rsidR="00030788">
        <w:rPr>
          <w:rStyle w:val="IvDbodytextChar"/>
          <w:rFonts w:ascii="Times New Roman" w:hAnsi="Times New Roman"/>
          <w:sz w:val="22"/>
          <w:szCs w:val="22"/>
        </w:rPr>
        <w:t>s</w:t>
      </w:r>
      <w:r w:rsidRPr="005E0E1B">
        <w:rPr>
          <w:rStyle w:val="IvDbodytextChar"/>
          <w:rFonts w:ascii="Times New Roman" w:hAnsi="Times New Roman"/>
          <w:sz w:val="22"/>
          <w:szCs w:val="22"/>
        </w:rPr>
        <w:t xml:space="preserve"> in RAN#4, the total number of </w:t>
      </w:r>
      <w:r w:rsidRPr="005E0E1B">
        <w:rPr>
          <w:sz w:val="22"/>
          <w:szCs w:val="22"/>
        </w:rPr>
        <w:t xml:space="preserve">available PRBs for each system bandwidth and subcarrier spacing is limited. Thus, there are trade-offs between above criteria, one should </w:t>
      </w:r>
      <w:proofErr w:type="gramStart"/>
      <w:r w:rsidRPr="005E0E1B">
        <w:rPr>
          <w:sz w:val="22"/>
          <w:szCs w:val="22"/>
        </w:rPr>
        <w:t>take into account</w:t>
      </w:r>
      <w:proofErr w:type="gramEnd"/>
      <w:r w:rsidRPr="005E0E1B">
        <w:rPr>
          <w:sz w:val="22"/>
          <w:szCs w:val="22"/>
        </w:rPr>
        <w:t xml:space="preserve"> all of them when selecting the interlace options. </w:t>
      </w:r>
    </w:p>
    <w:p w14:paraId="668D17C7" w14:textId="77777777" w:rsidR="00D51B22" w:rsidRPr="005E0E1B" w:rsidRDefault="00D51B22" w:rsidP="0099719D">
      <w:pPr>
        <w:jc w:val="both"/>
        <w:rPr>
          <w:sz w:val="22"/>
          <w:szCs w:val="22"/>
        </w:rPr>
      </w:pPr>
    </w:p>
    <w:p w14:paraId="6A0CE490" w14:textId="51B18ECD" w:rsidR="00D51B22" w:rsidRPr="004C6E9F" w:rsidRDefault="00D51B22" w:rsidP="0099719D">
      <w:pPr>
        <w:pStyle w:val="Proposal"/>
        <w:tabs>
          <w:tab w:val="clear" w:pos="1304"/>
        </w:tabs>
        <w:ind w:left="1701" w:hanging="1701"/>
        <w:rPr>
          <w:rStyle w:val="IvDbodytextChar"/>
          <w:rFonts w:ascii="Times New Roman" w:hAnsi="Times New Roman"/>
          <w:spacing w:val="0"/>
          <w:sz w:val="22"/>
          <w:szCs w:val="22"/>
          <w:lang w:val="en-GB" w:eastAsia="zh-CN"/>
        </w:rPr>
      </w:pPr>
      <w:bookmarkStart w:id="11" w:name="_Toc506553714"/>
      <w:r w:rsidRPr="005E0E1B">
        <w:rPr>
          <w:rFonts w:ascii="Times New Roman" w:hAnsi="Times New Roman"/>
          <w:sz w:val="22"/>
          <w:szCs w:val="22"/>
        </w:rPr>
        <w:t>Interlac</w:t>
      </w:r>
      <w:r w:rsidR="002B0FD8">
        <w:rPr>
          <w:rFonts w:ascii="Times New Roman" w:hAnsi="Times New Roman"/>
          <w:sz w:val="22"/>
          <w:szCs w:val="22"/>
        </w:rPr>
        <w:t>e</w:t>
      </w:r>
      <w:r w:rsidRPr="005E0E1B">
        <w:rPr>
          <w:rFonts w:ascii="Times New Roman" w:hAnsi="Times New Roman"/>
          <w:sz w:val="22"/>
          <w:szCs w:val="22"/>
        </w:rPr>
        <w:t xml:space="preserve"> designs </w:t>
      </w:r>
      <w:r w:rsidR="005E0E1B">
        <w:rPr>
          <w:rFonts w:ascii="Times New Roman" w:hAnsi="Times New Roman"/>
          <w:sz w:val="22"/>
          <w:szCs w:val="22"/>
        </w:rPr>
        <w:t xml:space="preserve">for NR-U </w:t>
      </w:r>
      <w:r w:rsidRPr="005E0E1B">
        <w:rPr>
          <w:rFonts w:ascii="Times New Roman" w:hAnsi="Times New Roman"/>
          <w:sz w:val="22"/>
          <w:szCs w:val="22"/>
        </w:rPr>
        <w:t>should balance the trade-offs between supporting maximum transmit power</w:t>
      </w:r>
      <w:r w:rsidR="00364771">
        <w:rPr>
          <w:rFonts w:ascii="Times New Roman" w:hAnsi="Times New Roman"/>
          <w:sz w:val="22"/>
          <w:szCs w:val="22"/>
        </w:rPr>
        <w:t xml:space="preserve">, </w:t>
      </w:r>
      <w:r w:rsidR="00C41FBF">
        <w:rPr>
          <w:rFonts w:ascii="Times New Roman" w:hAnsi="Times New Roman"/>
          <w:sz w:val="22"/>
          <w:szCs w:val="22"/>
        </w:rPr>
        <w:t>minimizing signalling</w:t>
      </w:r>
      <w:r w:rsidR="00364771">
        <w:rPr>
          <w:rFonts w:ascii="Times New Roman" w:hAnsi="Times New Roman"/>
          <w:sz w:val="22"/>
          <w:szCs w:val="22"/>
        </w:rPr>
        <w:t xml:space="preserve"> overhead, </w:t>
      </w:r>
      <w:r w:rsidR="00C41FBF">
        <w:rPr>
          <w:rFonts w:ascii="Times New Roman" w:hAnsi="Times New Roman"/>
          <w:sz w:val="22"/>
          <w:szCs w:val="22"/>
        </w:rPr>
        <w:t xml:space="preserve">enabling </w:t>
      </w:r>
      <w:r w:rsidRPr="005E0E1B">
        <w:rPr>
          <w:rFonts w:ascii="Times New Roman" w:hAnsi="Times New Roman"/>
          <w:sz w:val="22"/>
          <w:szCs w:val="22"/>
        </w:rPr>
        <w:t xml:space="preserve">flexible resource </w:t>
      </w:r>
      <w:r w:rsidR="00C41FBF">
        <w:rPr>
          <w:rFonts w:ascii="Times New Roman" w:hAnsi="Times New Roman"/>
          <w:sz w:val="22"/>
          <w:szCs w:val="22"/>
        </w:rPr>
        <w:t>allocations</w:t>
      </w:r>
      <w:r w:rsidRPr="005E0E1B">
        <w:rPr>
          <w:rFonts w:ascii="Times New Roman" w:hAnsi="Times New Roman"/>
          <w:sz w:val="22"/>
          <w:szCs w:val="22"/>
        </w:rPr>
        <w:t xml:space="preserve">, and </w:t>
      </w:r>
      <w:r w:rsidR="00C41FBF">
        <w:rPr>
          <w:rFonts w:ascii="Times New Roman" w:hAnsi="Times New Roman"/>
          <w:sz w:val="22"/>
          <w:szCs w:val="22"/>
        </w:rPr>
        <w:t xml:space="preserve">ensuring </w:t>
      </w:r>
      <w:r w:rsidRPr="005E0E1B">
        <w:rPr>
          <w:rFonts w:ascii="Times New Roman" w:hAnsi="Times New Roman"/>
          <w:sz w:val="22"/>
          <w:szCs w:val="22"/>
        </w:rPr>
        <w:t xml:space="preserve">suitability for different </w:t>
      </w:r>
      <w:r w:rsidRPr="005E0E1B">
        <w:rPr>
          <w:rStyle w:val="IvDbodytextChar"/>
          <w:rFonts w:ascii="Times New Roman" w:hAnsi="Times New Roman"/>
          <w:sz w:val="22"/>
          <w:szCs w:val="22"/>
        </w:rPr>
        <w:t>physical uplink channels.</w:t>
      </w:r>
      <w:bookmarkEnd w:id="11"/>
    </w:p>
    <w:p w14:paraId="1991DC1A" w14:textId="77777777" w:rsidR="00A21F3E" w:rsidRDefault="00A21F3E" w:rsidP="00A21F3E">
      <w:pPr>
        <w:pStyle w:val="Proposal"/>
        <w:numPr>
          <w:ilvl w:val="0"/>
          <w:numId w:val="0"/>
        </w:numPr>
        <w:ind w:left="1304" w:hanging="1304"/>
      </w:pPr>
      <w:bookmarkStart w:id="12" w:name="_Toc506539224"/>
    </w:p>
    <w:p w14:paraId="591E1BDE" w14:textId="3A669384" w:rsidR="004C6E9F" w:rsidRPr="002B03FD" w:rsidRDefault="00A21F3E" w:rsidP="002B03FD">
      <w:pPr>
        <w:jc w:val="both"/>
      </w:pPr>
      <w:r w:rsidRPr="002B03FD">
        <w:rPr>
          <w:sz w:val="22"/>
          <w:szCs w:val="22"/>
        </w:rPr>
        <w:t xml:space="preserve">Further details on interlace designs for NR-U uplink are available in our companion paper </w:t>
      </w:r>
      <w:r w:rsidRPr="002B03FD">
        <w:rPr>
          <w:sz w:val="22"/>
          <w:szCs w:val="22"/>
        </w:rPr>
        <w:fldChar w:fldCharType="begin"/>
      </w:r>
      <w:r w:rsidRPr="002B03FD">
        <w:rPr>
          <w:sz w:val="22"/>
          <w:szCs w:val="22"/>
        </w:rPr>
        <w:instrText xml:space="preserve"> REF _Ref506538700 \r \h </w:instrText>
      </w:r>
      <w:r>
        <w:rPr>
          <w:sz w:val="22"/>
          <w:szCs w:val="22"/>
        </w:rPr>
        <w:instrText xml:space="preserve"> \* MERGEFORMAT </w:instrText>
      </w:r>
      <w:r w:rsidRPr="002B03FD">
        <w:rPr>
          <w:sz w:val="22"/>
          <w:szCs w:val="22"/>
        </w:rPr>
      </w:r>
      <w:r w:rsidRPr="002B03FD">
        <w:rPr>
          <w:sz w:val="22"/>
          <w:szCs w:val="22"/>
        </w:rPr>
        <w:fldChar w:fldCharType="separate"/>
      </w:r>
      <w:r w:rsidRPr="002B03FD">
        <w:rPr>
          <w:sz w:val="22"/>
          <w:szCs w:val="22"/>
        </w:rPr>
        <w:t>[</w:t>
      </w:r>
      <w:r w:rsidRPr="002B03FD">
        <w:rPr>
          <w:sz w:val="22"/>
          <w:szCs w:val="22"/>
        </w:rPr>
        <w:t>5</w:t>
      </w:r>
      <w:r w:rsidRPr="002B03FD">
        <w:rPr>
          <w:sz w:val="22"/>
          <w:szCs w:val="22"/>
        </w:rPr>
        <w:t>]</w:t>
      </w:r>
      <w:r w:rsidRPr="002B03FD">
        <w:rPr>
          <w:sz w:val="22"/>
          <w:szCs w:val="22"/>
        </w:rPr>
        <w:fldChar w:fldCharType="end"/>
      </w:r>
      <w:r w:rsidRPr="002B03FD">
        <w:rPr>
          <w:sz w:val="22"/>
          <w:szCs w:val="22"/>
        </w:rPr>
        <w:t xml:space="preserve"> .</w:t>
      </w:r>
      <w:bookmarkEnd w:id="12"/>
    </w:p>
    <w:p w14:paraId="5C1D604A" w14:textId="6D8E3986" w:rsidR="00E57B0F" w:rsidRDefault="00E57B0F" w:rsidP="00E57B0F">
      <w:pPr>
        <w:pStyle w:val="Heading2"/>
      </w:pPr>
      <w:r w:rsidRPr="00E57B0F">
        <w:lastRenderedPageBreak/>
        <w:t xml:space="preserve">Autonomous UL Transmissions </w:t>
      </w:r>
    </w:p>
    <w:p w14:paraId="342E21DF" w14:textId="56F77E4D" w:rsidR="00063879" w:rsidRDefault="00063879" w:rsidP="00063879">
      <w:pPr>
        <w:pStyle w:val="BodyText"/>
        <w:rPr>
          <w:szCs w:val="22"/>
        </w:rPr>
      </w:pPr>
      <w:r>
        <w:rPr>
          <w:szCs w:val="22"/>
        </w:rPr>
        <w:t>In some scenarios, latency can be reduced if a data message can be sent on the semi-persistently allocated resource. NR provides the option to preconfigure resources in a semi static manner. With semi-persistent scheduling for UL, the UE is configured to transmit on pre-allocated resources. when UL data arrives, the UE can start transmission immediately according to the configured resources without the need to send an SR or waiting for the grant.</w:t>
      </w:r>
      <w:r w:rsidR="009E27B4" w:rsidRPr="009E27B4">
        <w:rPr>
          <w:szCs w:val="22"/>
        </w:rPr>
        <w:t xml:space="preserve"> </w:t>
      </w:r>
      <w:r w:rsidR="009E27B4" w:rsidRPr="005E0E1B">
        <w:rPr>
          <w:szCs w:val="22"/>
        </w:rPr>
        <w:t xml:space="preserve">Further details on </w:t>
      </w:r>
      <w:r w:rsidR="009E27B4">
        <w:rPr>
          <w:szCs w:val="22"/>
        </w:rPr>
        <w:t>motivation and design of AUL NR-U are available in</w:t>
      </w:r>
      <w:r w:rsidR="009E27B4" w:rsidRPr="005E0E1B">
        <w:rPr>
          <w:szCs w:val="22"/>
        </w:rPr>
        <w:t xml:space="preserve"> our companion paper</w:t>
      </w:r>
      <w:r w:rsidR="009E27B4">
        <w:rPr>
          <w:szCs w:val="22"/>
        </w:rPr>
        <w:t xml:space="preserve"> </w:t>
      </w:r>
      <w:r w:rsidR="00B33DE8">
        <w:rPr>
          <w:szCs w:val="22"/>
        </w:rPr>
        <w:fldChar w:fldCharType="begin"/>
      </w:r>
      <w:r w:rsidR="00B33DE8">
        <w:rPr>
          <w:szCs w:val="22"/>
        </w:rPr>
        <w:instrText xml:space="preserve"> REF _Ref506538833 \r \h </w:instrText>
      </w:r>
      <w:r w:rsidR="00B33DE8">
        <w:rPr>
          <w:szCs w:val="22"/>
        </w:rPr>
      </w:r>
      <w:r w:rsidR="00B33DE8">
        <w:rPr>
          <w:szCs w:val="22"/>
        </w:rPr>
        <w:fldChar w:fldCharType="separate"/>
      </w:r>
      <w:r w:rsidR="00A21F3E">
        <w:rPr>
          <w:szCs w:val="22"/>
        </w:rPr>
        <w:t>[6]</w:t>
      </w:r>
      <w:r w:rsidR="00B33DE8">
        <w:rPr>
          <w:szCs w:val="22"/>
        </w:rPr>
        <w:fldChar w:fldCharType="end"/>
      </w:r>
      <w:r w:rsidR="009E27B4">
        <w:rPr>
          <w:szCs w:val="22"/>
        </w:rPr>
        <w:t xml:space="preserve"> .</w:t>
      </w:r>
    </w:p>
    <w:p w14:paraId="68D646F2" w14:textId="2C3FD7D6" w:rsidR="00063879" w:rsidRPr="00063879" w:rsidRDefault="00063879" w:rsidP="00063879">
      <w:pPr>
        <w:pStyle w:val="Proposal"/>
        <w:tabs>
          <w:tab w:val="clear" w:pos="1304"/>
        </w:tabs>
        <w:ind w:left="1701" w:hanging="1701"/>
        <w:rPr>
          <w:rFonts w:ascii="Times New Roman" w:hAnsi="Times New Roman"/>
          <w:sz w:val="22"/>
          <w:szCs w:val="22"/>
        </w:rPr>
      </w:pPr>
      <w:bookmarkStart w:id="13" w:name="_Toc506553715"/>
      <w:r w:rsidRPr="00063879">
        <w:rPr>
          <w:rFonts w:ascii="Times New Roman" w:hAnsi="Times New Roman"/>
          <w:sz w:val="22"/>
          <w:szCs w:val="22"/>
        </w:rPr>
        <w:t xml:space="preserve">It is beneficial to support autonomous uplink data transmissions on pre-allocated resources on NR-U Cells to reduce </w:t>
      </w:r>
      <w:proofErr w:type="spellStart"/>
      <w:r w:rsidRPr="00063879">
        <w:rPr>
          <w:rFonts w:ascii="Times New Roman" w:hAnsi="Times New Roman"/>
          <w:sz w:val="22"/>
          <w:szCs w:val="22"/>
        </w:rPr>
        <w:t>signaling</w:t>
      </w:r>
      <w:proofErr w:type="spellEnd"/>
      <w:r w:rsidRPr="00063879">
        <w:rPr>
          <w:rFonts w:ascii="Times New Roman" w:hAnsi="Times New Roman"/>
          <w:sz w:val="22"/>
          <w:szCs w:val="22"/>
        </w:rPr>
        <w:t xml:space="preserve"> overhead and latency.</w:t>
      </w:r>
      <w:bookmarkEnd w:id="13"/>
    </w:p>
    <w:p w14:paraId="0441C8C3" w14:textId="577CA21D" w:rsidR="00E57B0F" w:rsidRDefault="009E27B4" w:rsidP="00D7011B">
      <w:pPr>
        <w:pStyle w:val="BodyText"/>
        <w:rPr>
          <w:szCs w:val="22"/>
        </w:rPr>
      </w:pPr>
      <w:r>
        <w:rPr>
          <w:szCs w:val="22"/>
        </w:rPr>
        <w:t xml:space="preserve">AUL </w:t>
      </w:r>
      <w:r w:rsidR="00D7011B">
        <w:rPr>
          <w:szCs w:val="22"/>
        </w:rPr>
        <w:t xml:space="preserve">NR-U can benefit from the </w:t>
      </w:r>
      <w:r w:rsidR="00D7011B" w:rsidRPr="008900F2">
        <w:rPr>
          <w:szCs w:val="22"/>
        </w:rPr>
        <w:t>adjustments</w:t>
      </w:r>
      <w:r w:rsidR="00D7011B">
        <w:rPr>
          <w:szCs w:val="22"/>
        </w:rPr>
        <w:t xml:space="preserve"> that were introduced for AUL feLAA </w:t>
      </w:r>
      <w:r w:rsidR="00063879" w:rsidRPr="008900F2">
        <w:rPr>
          <w:szCs w:val="22"/>
        </w:rPr>
        <w:t>to provide efficient operation on unlicensed bands</w:t>
      </w:r>
      <w:r w:rsidR="00D7011B">
        <w:rPr>
          <w:szCs w:val="22"/>
        </w:rPr>
        <w:t xml:space="preserve">: </w:t>
      </w:r>
    </w:p>
    <w:p w14:paraId="61CCF56F" w14:textId="77904F28" w:rsidR="00D7011B" w:rsidRPr="00D7011B" w:rsidRDefault="00D7011B" w:rsidP="00D7011B">
      <w:pPr>
        <w:pStyle w:val="BodyText"/>
        <w:numPr>
          <w:ilvl w:val="0"/>
          <w:numId w:val="18"/>
        </w:numPr>
        <w:rPr>
          <w:szCs w:val="22"/>
        </w:rPr>
      </w:pPr>
      <w:r w:rsidRPr="008900F2">
        <w:rPr>
          <w:szCs w:val="22"/>
        </w:rPr>
        <w:t>new uplink control information (UCI) was introduced to enable fully asynchronous HARQ</w:t>
      </w:r>
      <w:r>
        <w:rPr>
          <w:szCs w:val="22"/>
        </w:rPr>
        <w:t xml:space="preserve"> that is not based on associating </w:t>
      </w:r>
      <w:r w:rsidRPr="00D7011B">
        <w:rPr>
          <w:szCs w:val="22"/>
        </w:rPr>
        <w:t>HARQ ID to the slot index.</w:t>
      </w:r>
    </w:p>
    <w:p w14:paraId="76399C4D" w14:textId="0F688FDA" w:rsidR="00D7011B" w:rsidRPr="00D7011B" w:rsidRDefault="00D7011B" w:rsidP="00D7011B">
      <w:pPr>
        <w:pStyle w:val="BodyText"/>
        <w:numPr>
          <w:ilvl w:val="0"/>
          <w:numId w:val="18"/>
        </w:numPr>
        <w:rPr>
          <w:szCs w:val="22"/>
        </w:rPr>
      </w:pPr>
      <w:r w:rsidRPr="00D7011B">
        <w:rPr>
          <w:szCs w:val="22"/>
        </w:rPr>
        <w:t xml:space="preserve">new format for downlink feedback information that enables carrying pending HARQ feedback for several uplink transmissions from the same UE to </w:t>
      </w:r>
      <w:r w:rsidRPr="00D41FC4">
        <w:rPr>
          <w:szCs w:val="22"/>
        </w:rPr>
        <w:t>reduce the signaling overhead on unlicensed operation</w:t>
      </w:r>
    </w:p>
    <w:p w14:paraId="6EB83C68" w14:textId="004569E4" w:rsidR="00D7011B" w:rsidRPr="00A51C32" w:rsidRDefault="00D7011B" w:rsidP="00A51C32">
      <w:pPr>
        <w:pStyle w:val="Proposal"/>
        <w:tabs>
          <w:tab w:val="clear" w:pos="1304"/>
        </w:tabs>
        <w:ind w:left="1701" w:hanging="1701"/>
        <w:rPr>
          <w:rFonts w:ascii="Times New Roman" w:hAnsi="Times New Roman"/>
          <w:sz w:val="22"/>
          <w:szCs w:val="22"/>
        </w:rPr>
      </w:pPr>
      <w:bookmarkStart w:id="14" w:name="_Toc506553716"/>
      <w:r w:rsidRPr="00A51C32">
        <w:rPr>
          <w:rFonts w:ascii="Times New Roman" w:hAnsi="Times New Roman"/>
          <w:sz w:val="22"/>
          <w:szCs w:val="22"/>
        </w:rPr>
        <w:t>The autonomous UL functionality for NR-U can be achieved by using Type 1 and Type 2 configured UL specified in NR Rel-15 with some additional enhancements</w:t>
      </w:r>
      <w:bookmarkEnd w:id="14"/>
      <w:r w:rsidRPr="00A51C32">
        <w:rPr>
          <w:rFonts w:ascii="Times New Roman" w:hAnsi="Times New Roman"/>
          <w:sz w:val="22"/>
          <w:szCs w:val="22"/>
        </w:rPr>
        <w:t xml:space="preserve"> </w:t>
      </w:r>
    </w:p>
    <w:p w14:paraId="6567432D" w14:textId="15A805CB" w:rsidR="00D7011B" w:rsidRPr="00A51C32" w:rsidRDefault="00D7011B" w:rsidP="00A51C32">
      <w:pPr>
        <w:pStyle w:val="Proposal"/>
        <w:numPr>
          <w:ilvl w:val="1"/>
          <w:numId w:val="11"/>
        </w:numPr>
        <w:rPr>
          <w:rFonts w:ascii="Times New Roman" w:hAnsi="Times New Roman"/>
          <w:sz w:val="22"/>
          <w:szCs w:val="22"/>
        </w:rPr>
      </w:pPr>
      <w:bookmarkStart w:id="15" w:name="_Toc494399775"/>
      <w:bookmarkStart w:id="16" w:name="_Toc494361440"/>
      <w:bookmarkStart w:id="17" w:name="_Toc494361082"/>
      <w:bookmarkStart w:id="18" w:name="_Toc494360854"/>
      <w:bookmarkStart w:id="19" w:name="_Toc494315336"/>
      <w:bookmarkStart w:id="20" w:name="_Toc494306674"/>
      <w:bookmarkStart w:id="21" w:name="_Toc494306660"/>
      <w:bookmarkStart w:id="22" w:name="_Toc494304830"/>
      <w:bookmarkStart w:id="23" w:name="_Toc494298423"/>
      <w:bookmarkStart w:id="24" w:name="_Toc494298059"/>
      <w:bookmarkStart w:id="25" w:name="_Toc494298045"/>
      <w:bookmarkStart w:id="26" w:name="_Ref494294009"/>
      <w:bookmarkStart w:id="27" w:name="_Ref494293748"/>
      <w:bookmarkStart w:id="28" w:name="_Toc490233207"/>
      <w:bookmarkStart w:id="29" w:name="_Toc490152750"/>
      <w:bookmarkStart w:id="30" w:name="_Toc506553717"/>
      <w:r w:rsidRPr="00A51C32">
        <w:rPr>
          <w:rFonts w:ascii="Times New Roman" w:hAnsi="Times New Roman"/>
          <w:sz w:val="22"/>
          <w:szCs w:val="22"/>
        </w:rPr>
        <w:t>For the NR autonomous UL access, asynchronous HARQ should be supported whereby the HARQ ID associated with a TB is not tied to the slot index.</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7B9C00F" w14:textId="0CA4DF75" w:rsidR="00063879" w:rsidRDefault="00D7011B" w:rsidP="00A51C32">
      <w:pPr>
        <w:pStyle w:val="Proposal"/>
        <w:numPr>
          <w:ilvl w:val="1"/>
          <w:numId w:val="11"/>
        </w:numPr>
        <w:rPr>
          <w:rFonts w:ascii="Times New Roman" w:hAnsi="Times New Roman"/>
          <w:sz w:val="22"/>
          <w:szCs w:val="22"/>
        </w:rPr>
      </w:pPr>
      <w:bookmarkStart w:id="31" w:name="_Toc506553718"/>
      <w:r w:rsidRPr="00A51C32">
        <w:rPr>
          <w:rFonts w:ascii="Times New Roman" w:hAnsi="Times New Roman"/>
          <w:sz w:val="22"/>
          <w:szCs w:val="22"/>
        </w:rPr>
        <w:t>For the NR autonomous UL access, specify new format for downlink feedback information that enables carrying pending HARQ feedback for several uplink transmissions from the same UE.</w:t>
      </w:r>
      <w:bookmarkEnd w:id="31"/>
    </w:p>
    <w:p w14:paraId="2C1D4640" w14:textId="77777777" w:rsidR="009E27B4" w:rsidRPr="00A51C32" w:rsidRDefault="009E27B4" w:rsidP="009E27B4">
      <w:pPr>
        <w:pStyle w:val="Proposal"/>
        <w:numPr>
          <w:ilvl w:val="0"/>
          <w:numId w:val="0"/>
        </w:numPr>
        <w:rPr>
          <w:rFonts w:ascii="Times New Roman" w:hAnsi="Times New Roman"/>
          <w:sz w:val="22"/>
          <w:szCs w:val="22"/>
        </w:rPr>
      </w:pPr>
    </w:p>
    <w:p w14:paraId="70F9B807" w14:textId="491D7F2D" w:rsidR="00E57B0F" w:rsidRDefault="00E57B0F" w:rsidP="00E57B0F">
      <w:pPr>
        <w:pStyle w:val="Heading2"/>
      </w:pPr>
      <w:r w:rsidRPr="00E57B0F">
        <w:t>PRACH procedure</w:t>
      </w:r>
    </w:p>
    <w:p w14:paraId="2945387D" w14:textId="2D7EEF99" w:rsidR="003A40CC" w:rsidRDefault="004C6AD3" w:rsidP="00E57B0F">
      <w:pPr>
        <w:pStyle w:val="BodyText"/>
      </w:pPr>
      <w:r>
        <w:t xml:space="preserve">Support for PRACH is relevant not only for the stand-alone scenario, but also for LTE-NR-U interworking scenarios. Rel-15 </w:t>
      </w:r>
      <w:r w:rsidR="003A40CC">
        <w:t xml:space="preserve">NR specified the support of 4-step PRACH </w:t>
      </w:r>
      <w:proofErr w:type="gramStart"/>
      <w:r w:rsidR="003A40CC">
        <w:t>similar to</w:t>
      </w:r>
      <w:proofErr w:type="gramEnd"/>
      <w:r w:rsidR="003A40CC">
        <w:t xml:space="preserve"> LTE initial access procedure. For unlicensed operation, four-step random access procedure for initial network access implies that up to four independent LBT procedures need to be performed, two by the UE and two by the eNB. This can significantly increase the delay in connecting to the network and reduce the competitiveness of NR-U compared to other technologies. Therefore, it is recommended that the initial access is completed in two steps</w:t>
      </w:r>
      <w:r>
        <w:t>.</w:t>
      </w:r>
      <w:r w:rsidR="003A40CC">
        <w:t xml:space="preserve"> </w:t>
      </w:r>
    </w:p>
    <w:p w14:paraId="2C547FBE" w14:textId="25D5143E" w:rsidR="004C6AD3" w:rsidRPr="008E02DB" w:rsidRDefault="004C6AD3" w:rsidP="004C6AD3">
      <w:pPr>
        <w:pStyle w:val="Proposal"/>
        <w:tabs>
          <w:tab w:val="clear" w:pos="1304"/>
        </w:tabs>
        <w:ind w:left="1701" w:hanging="1701"/>
        <w:rPr>
          <w:rFonts w:ascii="Times New Roman" w:hAnsi="Times New Roman"/>
          <w:sz w:val="22"/>
          <w:szCs w:val="22"/>
        </w:rPr>
      </w:pPr>
      <w:bookmarkStart w:id="32" w:name="_Toc506553719"/>
      <w:r w:rsidRPr="008E02DB">
        <w:rPr>
          <w:rFonts w:ascii="Times New Roman" w:hAnsi="Times New Roman"/>
          <w:sz w:val="22"/>
          <w:szCs w:val="22"/>
        </w:rPr>
        <w:t>Specify support for PRACH for both standalone and non-standalone NR-U.</w:t>
      </w:r>
      <w:bookmarkEnd w:id="32"/>
      <w:r w:rsidRPr="008E02DB">
        <w:rPr>
          <w:rFonts w:ascii="Times New Roman" w:hAnsi="Times New Roman"/>
          <w:sz w:val="22"/>
          <w:szCs w:val="22"/>
        </w:rPr>
        <w:t xml:space="preserve"> </w:t>
      </w:r>
    </w:p>
    <w:p w14:paraId="652265FF" w14:textId="1985C634" w:rsidR="003A40CC" w:rsidRPr="008E02DB" w:rsidRDefault="003A40CC" w:rsidP="003A40CC">
      <w:pPr>
        <w:pStyle w:val="Proposal"/>
        <w:tabs>
          <w:tab w:val="clear" w:pos="1304"/>
        </w:tabs>
        <w:ind w:left="1701" w:hanging="1701"/>
        <w:rPr>
          <w:rFonts w:ascii="Times New Roman" w:hAnsi="Times New Roman"/>
          <w:sz w:val="22"/>
          <w:szCs w:val="22"/>
        </w:rPr>
      </w:pPr>
      <w:bookmarkStart w:id="33" w:name="_Toc506553720"/>
      <w:r w:rsidRPr="008E02DB">
        <w:rPr>
          <w:rFonts w:ascii="Times New Roman" w:hAnsi="Times New Roman"/>
          <w:sz w:val="22"/>
          <w:szCs w:val="22"/>
        </w:rPr>
        <w:t>Support simplified RACH procedure consisting of two main steps.</w:t>
      </w:r>
      <w:bookmarkEnd w:id="33"/>
    </w:p>
    <w:p w14:paraId="0B2B6715" w14:textId="68A89F33" w:rsidR="003A40CC" w:rsidRPr="004C6AD3" w:rsidRDefault="003A40CC" w:rsidP="004C6AD3">
      <w:pPr>
        <w:pStyle w:val="BodyText"/>
      </w:pPr>
      <w:r w:rsidRPr="00DF03DA">
        <w:t>NR supports both long (L = 839) and short (L =</w:t>
      </w:r>
      <w:r>
        <w:t xml:space="preserve"> 139</w:t>
      </w:r>
      <w:r w:rsidRPr="00DF03DA">
        <w:t xml:space="preserve">) preamble sequences. </w:t>
      </w:r>
      <w:r>
        <w:t xml:space="preserve">The long preambles are mainly targeting large cell deployments which are not applicable for sub-7GHz spectrum. For NR-U, only short preambles are of interest. </w:t>
      </w:r>
    </w:p>
    <w:p w14:paraId="58220C51" w14:textId="77777777" w:rsidR="003A40CC" w:rsidRPr="008E02DB" w:rsidRDefault="003A40CC" w:rsidP="003A40CC">
      <w:pPr>
        <w:pStyle w:val="Proposal"/>
        <w:tabs>
          <w:tab w:val="clear" w:pos="1304"/>
        </w:tabs>
        <w:ind w:left="1701" w:hanging="1701"/>
        <w:rPr>
          <w:rFonts w:ascii="Times New Roman" w:hAnsi="Times New Roman"/>
          <w:sz w:val="22"/>
          <w:szCs w:val="22"/>
        </w:rPr>
      </w:pPr>
      <w:bookmarkStart w:id="34" w:name="_Toc506553721"/>
      <w:r w:rsidRPr="008E02DB">
        <w:rPr>
          <w:rFonts w:ascii="Times New Roman" w:hAnsi="Times New Roman"/>
          <w:sz w:val="22"/>
          <w:szCs w:val="22"/>
        </w:rPr>
        <w:t>NR-U should support short PRACH sequence length</w:t>
      </w:r>
      <w:bookmarkEnd w:id="34"/>
    </w:p>
    <w:p w14:paraId="3431C93B" w14:textId="5927E0EA" w:rsidR="003A40CC" w:rsidRDefault="003A40CC" w:rsidP="00995AF5">
      <w:pPr>
        <w:pStyle w:val="BodyText"/>
      </w:pPr>
      <w:r>
        <w:t xml:space="preserve">As described in 2.3, </w:t>
      </w:r>
      <w:r w:rsidR="00995AF5">
        <w:t>i</w:t>
      </w:r>
      <w:r w:rsidRPr="00E74C74">
        <w:t>nterlaced resource allocation</w:t>
      </w:r>
      <w:r>
        <w:t xml:space="preserve"> is needed for UL transmissions, including PRACH,</w:t>
      </w:r>
      <w:r w:rsidRPr="00E74C74">
        <w:t xml:space="preserve"> to fulfil the PSD restriction in 5GHz. </w:t>
      </w:r>
      <w:r w:rsidR="00995AF5">
        <w:t xml:space="preserve">60kHz subcarrier spacing </w:t>
      </w:r>
      <w:r>
        <w:t>for PRACH transmission in spectrum below 6GHz is needed to facilitate multiplexing of interlaced PUSCH and PRACH</w:t>
      </w:r>
      <w:r w:rsidR="00995AF5">
        <w:t>.</w:t>
      </w:r>
    </w:p>
    <w:p w14:paraId="2A48D102" w14:textId="3ADFBBBB" w:rsidR="003A40CC" w:rsidRPr="008E02DB" w:rsidRDefault="003A40CC" w:rsidP="003A40CC">
      <w:pPr>
        <w:pStyle w:val="Proposal"/>
        <w:tabs>
          <w:tab w:val="clear" w:pos="1304"/>
        </w:tabs>
        <w:ind w:left="1701" w:hanging="1701"/>
        <w:rPr>
          <w:rFonts w:ascii="Times New Roman" w:hAnsi="Times New Roman"/>
          <w:sz w:val="22"/>
          <w:szCs w:val="22"/>
        </w:rPr>
      </w:pPr>
      <w:bookmarkStart w:id="35" w:name="_Toc506553722"/>
      <w:r w:rsidRPr="008E02DB">
        <w:rPr>
          <w:rFonts w:ascii="Times New Roman" w:hAnsi="Times New Roman"/>
          <w:sz w:val="22"/>
          <w:szCs w:val="22"/>
        </w:rPr>
        <w:t>Need to support interlaced PRACH resource allocation for a UE</w:t>
      </w:r>
      <w:bookmarkEnd w:id="35"/>
    </w:p>
    <w:p w14:paraId="56A8BE1D" w14:textId="48C46DF7" w:rsidR="003A40CC" w:rsidRPr="008E02DB" w:rsidRDefault="003A40CC" w:rsidP="003A40CC">
      <w:pPr>
        <w:pStyle w:val="Proposal"/>
        <w:tabs>
          <w:tab w:val="clear" w:pos="1304"/>
        </w:tabs>
        <w:ind w:left="1701" w:hanging="1701"/>
        <w:rPr>
          <w:rFonts w:ascii="Times New Roman" w:hAnsi="Times New Roman"/>
          <w:sz w:val="22"/>
          <w:szCs w:val="22"/>
        </w:rPr>
      </w:pPr>
      <w:bookmarkStart w:id="36" w:name="_Toc506553723"/>
      <w:r w:rsidRPr="008E02DB">
        <w:rPr>
          <w:rFonts w:ascii="Times New Roman" w:hAnsi="Times New Roman"/>
          <w:sz w:val="22"/>
          <w:szCs w:val="22"/>
        </w:rPr>
        <w:t>For below 6GHz NR-U operation, numerology for RACH preamble should include 60</w:t>
      </w:r>
      <w:r w:rsidR="00995AF5" w:rsidRPr="008E02DB">
        <w:rPr>
          <w:rFonts w:ascii="Times New Roman" w:hAnsi="Times New Roman"/>
          <w:sz w:val="22"/>
          <w:szCs w:val="22"/>
        </w:rPr>
        <w:t xml:space="preserve"> k</w:t>
      </w:r>
      <w:r w:rsidRPr="008E02DB">
        <w:rPr>
          <w:rFonts w:ascii="Times New Roman" w:hAnsi="Times New Roman"/>
          <w:sz w:val="22"/>
          <w:szCs w:val="22"/>
        </w:rPr>
        <w:t>Hz.</w:t>
      </w:r>
      <w:bookmarkEnd w:id="36"/>
      <w:r w:rsidRPr="008E02DB">
        <w:rPr>
          <w:rFonts w:ascii="Times New Roman" w:hAnsi="Times New Roman"/>
          <w:sz w:val="22"/>
          <w:szCs w:val="22"/>
        </w:rPr>
        <w:t xml:space="preserve"> </w:t>
      </w:r>
    </w:p>
    <w:p w14:paraId="32BB846F" w14:textId="26F8CE25" w:rsidR="008E02DB" w:rsidRDefault="008E02DB" w:rsidP="008E02DB">
      <w:pPr>
        <w:pStyle w:val="BodyText"/>
      </w:pPr>
      <w:r>
        <w:t>Further details on PRACH are available in our companion paper</w:t>
      </w:r>
      <w:r w:rsidR="00CF6711">
        <w:t xml:space="preserve"> </w:t>
      </w:r>
      <w:r w:rsidR="00CF6711">
        <w:fldChar w:fldCharType="begin"/>
      </w:r>
      <w:r w:rsidR="00CF6711">
        <w:instrText xml:space="preserve"> REF _Ref506552600 \r \h </w:instrText>
      </w:r>
      <w:r w:rsidR="00CF6711">
        <w:fldChar w:fldCharType="separate"/>
      </w:r>
      <w:r w:rsidR="00CF6711">
        <w:t>[7</w:t>
      </w:r>
      <w:r w:rsidR="00CF6711">
        <w:t>]</w:t>
      </w:r>
      <w:r w:rsidR="00CF6711">
        <w:fldChar w:fldCharType="end"/>
      </w:r>
      <w:r>
        <w:t>.</w:t>
      </w:r>
    </w:p>
    <w:p w14:paraId="2CCBD4FD" w14:textId="17EAFC0F" w:rsidR="00E57B0F" w:rsidRPr="00E57B0F" w:rsidRDefault="00960DFD" w:rsidP="00960DFD">
      <w:pPr>
        <w:pStyle w:val="Heading2"/>
      </w:pPr>
      <w:r w:rsidRPr="0098110B">
        <w:lastRenderedPageBreak/>
        <w:t>Discovery Reference Signal</w:t>
      </w:r>
    </w:p>
    <w:p w14:paraId="7E3C1225" w14:textId="0993D5BF" w:rsidR="00960DFD" w:rsidRDefault="00960DFD" w:rsidP="001E19C0">
      <w:pPr>
        <w:pStyle w:val="BodyText"/>
      </w:pPr>
      <w:r>
        <w:t xml:space="preserve">In section we will focus on </w:t>
      </w:r>
      <w:r w:rsidR="00CC783F">
        <w:t xml:space="preserve">always on transmissions needed for initial access, </w:t>
      </w:r>
      <w:r w:rsidR="004D25DF">
        <w:t>RRM measurements for L3 mobility</w:t>
      </w:r>
      <w:r w:rsidR="00C75376">
        <w:t xml:space="preserve">, </w:t>
      </w:r>
      <w:r>
        <w:t xml:space="preserve">radio link monitoring and paging. </w:t>
      </w:r>
    </w:p>
    <w:p w14:paraId="4685C0AA" w14:textId="2DD923B8" w:rsidR="0049265D" w:rsidRDefault="00D47353" w:rsidP="001E19C0">
      <w:pPr>
        <w:pStyle w:val="BodyText"/>
      </w:pPr>
      <w:r w:rsidRPr="00960DFD">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39199C8E" w14:textId="0496CF43" w:rsidR="00705884" w:rsidRPr="002B03FD" w:rsidRDefault="00705884" w:rsidP="003D63F9">
      <w:pPr>
        <w:pStyle w:val="BodyText"/>
        <w:numPr>
          <w:ilvl w:val="0"/>
          <w:numId w:val="14"/>
        </w:numPr>
        <w:tabs>
          <w:tab w:val="clear" w:pos="1304"/>
          <w:tab w:val="num" w:pos="1701"/>
        </w:tabs>
        <w:ind w:left="1701" w:hanging="1701"/>
        <w:rPr>
          <w:b/>
          <w:lang w:val="en-GB"/>
        </w:rPr>
      </w:pPr>
      <w:bookmarkStart w:id="37" w:name="_Ref481497456"/>
      <w:r w:rsidRPr="002B03FD">
        <w:rPr>
          <w:b/>
          <w:lang w:val="en-GB"/>
        </w:rPr>
        <w:t>For efficient operation in unlicensed spectrum always-on-</w:t>
      </w:r>
      <w:r w:rsidR="00606F68" w:rsidRPr="002B03FD">
        <w:rPr>
          <w:b/>
          <w:lang w:val="en-GB"/>
        </w:rPr>
        <w:t>transmissions</w:t>
      </w:r>
      <w:r w:rsidRPr="002B03FD">
        <w:rPr>
          <w:b/>
          <w:lang w:val="en-GB"/>
        </w:rPr>
        <w:t xml:space="preserve"> should be kept at a minimum and be concentrated in time as much as possible.</w:t>
      </w:r>
      <w:bookmarkEnd w:id="37"/>
    </w:p>
    <w:p w14:paraId="0F2B5D63" w14:textId="77777777" w:rsidR="00142641" w:rsidRDefault="00142641" w:rsidP="001E19C0">
      <w:pPr>
        <w:pStyle w:val="BodyText"/>
      </w:pPr>
    </w:p>
    <w:p w14:paraId="117C6F42" w14:textId="1E3BC501" w:rsidR="004F5D65" w:rsidRDefault="004F5D65" w:rsidP="00A12E1B">
      <w:pPr>
        <w:pStyle w:val="BodyText"/>
      </w:pPr>
      <w:r>
        <w:t xml:space="preserve">To this end, 3GPP introduced a Discovery Reference Signal (DRS) in Rel-13 LAA. The same reasoning that lead to the introduction of a DRS in Rel-13 LAA can also be applied to NR when operating in unlicensed spectrum (NR-U). </w:t>
      </w:r>
      <w:r w:rsidR="005F435E">
        <w:t xml:space="preserve">Introducing a concept like the Rel-13 Discovery Reference Signal in NR allows channel access rules to be specified for the set of signals/channels that the DRS is composed of, instead of doing it for each signal/channel individually. In addition, it allows for the specification of a time/frequency domain structure suitable for unlicensed spectrum, for example avoiding transmission gaps within the DRS. </w:t>
      </w:r>
      <w:r>
        <w:t>Thus</w:t>
      </w:r>
      <w:r w:rsidR="005F435E">
        <w:t>,</w:t>
      </w:r>
      <w:r>
        <w:t xml:space="preserve"> we make the following proposal:</w:t>
      </w:r>
    </w:p>
    <w:p w14:paraId="322DB25D" w14:textId="78A0CA33" w:rsidR="00A12E1B" w:rsidRPr="002B03FD" w:rsidRDefault="00A21F3E" w:rsidP="00A12E1B">
      <w:pPr>
        <w:pStyle w:val="Proposal"/>
        <w:rPr>
          <w:rFonts w:ascii="Times New Roman" w:hAnsi="Times New Roman"/>
          <w:sz w:val="22"/>
        </w:rPr>
      </w:pPr>
      <w:bookmarkStart w:id="38" w:name="_Toc506553724"/>
      <w:r w:rsidRPr="002B03FD">
        <w:rPr>
          <w:rFonts w:ascii="Times New Roman" w:hAnsi="Times New Roman"/>
          <w:sz w:val="22"/>
        </w:rPr>
        <w:t>For NR, i</w:t>
      </w:r>
      <w:r w:rsidR="00A12E1B" w:rsidRPr="002B03FD">
        <w:rPr>
          <w:rFonts w:ascii="Times New Roman" w:hAnsi="Times New Roman"/>
          <w:sz w:val="22"/>
        </w:rPr>
        <w:t xml:space="preserve">ntroduce a concept </w:t>
      </w:r>
      <w:proofErr w:type="gramStart"/>
      <w:r w:rsidR="00A12E1B" w:rsidRPr="002B03FD">
        <w:rPr>
          <w:rFonts w:ascii="Times New Roman" w:hAnsi="Times New Roman"/>
          <w:sz w:val="22"/>
        </w:rPr>
        <w:t>similar to</w:t>
      </w:r>
      <w:proofErr w:type="gramEnd"/>
      <w:r w:rsidR="00A12E1B" w:rsidRPr="002B03FD">
        <w:rPr>
          <w:rFonts w:ascii="Times New Roman" w:hAnsi="Times New Roman"/>
          <w:sz w:val="22"/>
        </w:rPr>
        <w:t xml:space="preserve"> the Rel-13 D</w:t>
      </w:r>
      <w:r w:rsidR="004F5D65" w:rsidRPr="002B03FD">
        <w:rPr>
          <w:rFonts w:ascii="Times New Roman" w:hAnsi="Times New Roman"/>
          <w:sz w:val="22"/>
        </w:rPr>
        <w:t xml:space="preserve">iscovery Reference </w:t>
      </w:r>
      <w:r w:rsidR="00A12E1B" w:rsidRPr="002B03FD">
        <w:rPr>
          <w:rFonts w:ascii="Times New Roman" w:hAnsi="Times New Roman"/>
          <w:sz w:val="22"/>
        </w:rPr>
        <w:t>S</w:t>
      </w:r>
      <w:r w:rsidR="004F5D65" w:rsidRPr="002B03FD">
        <w:rPr>
          <w:rFonts w:ascii="Times New Roman" w:hAnsi="Times New Roman"/>
          <w:sz w:val="22"/>
        </w:rPr>
        <w:t>ignal (DRS)</w:t>
      </w:r>
      <w:r w:rsidR="00A12E1B" w:rsidRPr="002B03FD">
        <w:rPr>
          <w:rFonts w:ascii="Times New Roman" w:hAnsi="Times New Roman"/>
          <w:sz w:val="22"/>
        </w:rPr>
        <w:t>.</w:t>
      </w:r>
      <w:bookmarkEnd w:id="38"/>
    </w:p>
    <w:p w14:paraId="38A62B4C" w14:textId="5511BE1C" w:rsidR="00A8426B" w:rsidRPr="00F63C5D" w:rsidRDefault="004D25DF" w:rsidP="00C75376">
      <w:pPr>
        <w:pStyle w:val="BodyText"/>
      </w:pPr>
      <w:r>
        <w:t>Further details on potential content and scheduling of the NR-DRS are available in our companion paper</w:t>
      </w:r>
      <w:r w:rsidR="00A21F3E">
        <w:t xml:space="preserve"> </w:t>
      </w:r>
      <w:r w:rsidR="00A21F3E">
        <w:fldChar w:fldCharType="begin"/>
      </w:r>
      <w:r w:rsidR="00A21F3E">
        <w:instrText xml:space="preserve"> REF _Ref506539133 \r \h </w:instrText>
      </w:r>
      <w:r w:rsidR="00A21F3E">
        <w:fldChar w:fldCharType="separate"/>
      </w:r>
      <w:r w:rsidR="00A21F3E">
        <w:t>[8]</w:t>
      </w:r>
      <w:r w:rsidR="00A21F3E">
        <w:fldChar w:fldCharType="end"/>
      </w:r>
      <w:r>
        <w:t>.</w:t>
      </w:r>
    </w:p>
    <w:p w14:paraId="6633F418" w14:textId="77777777" w:rsidR="00A8426B" w:rsidRDefault="00A8426B" w:rsidP="00E02110">
      <w:pPr>
        <w:pStyle w:val="BodyText"/>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39" w:name="_Toc458153812"/>
      <w:r>
        <w:t>Conclusion</w:t>
      </w:r>
      <w:bookmarkEnd w:id="39"/>
    </w:p>
    <w:p w14:paraId="1A5DDAC8" w14:textId="2DB66529" w:rsidR="00424DB8" w:rsidRPr="00F63C5D" w:rsidRDefault="00424DB8" w:rsidP="001E19C0">
      <w:pPr>
        <w:pStyle w:val="BodyText"/>
      </w:pPr>
      <w:r w:rsidRPr="00F63C5D">
        <w:t xml:space="preserve">In this contribution, we </w:t>
      </w:r>
      <w:r w:rsidR="004A3D38">
        <w:t xml:space="preserve">discussed solutions and techniques required to fulfill the study item objectives </w:t>
      </w:r>
      <w:r w:rsidR="004A3D38">
        <w:fldChar w:fldCharType="begin"/>
      </w:r>
      <w:r w:rsidR="004A3D38">
        <w:instrText xml:space="preserve"> REF _Ref481486326 \r \h </w:instrText>
      </w:r>
      <w:r w:rsidR="004A3D38">
        <w:fldChar w:fldCharType="separate"/>
      </w:r>
      <w:r w:rsidR="00A21F3E">
        <w:t>[1]</w:t>
      </w:r>
      <w:r w:rsidR="004A3D38">
        <w:fldChar w:fldCharType="end"/>
      </w:r>
      <w:r w:rsidR="00171B2D">
        <w:t xml:space="preserve">. </w:t>
      </w:r>
      <w:r w:rsidR="00171B2D">
        <w:rPr>
          <w:szCs w:val="22"/>
        </w:rPr>
        <w:t>Based on the discussion</w:t>
      </w:r>
      <w:r w:rsidR="00171B2D">
        <w:t xml:space="preserve"> we have made the following proposals:</w:t>
      </w:r>
    </w:p>
    <w:p w14:paraId="503C669B" w14:textId="77777777" w:rsidR="007C712E" w:rsidRDefault="00D5799B">
      <w:pPr>
        <w:pStyle w:val="TOC1"/>
        <w:rPr>
          <w:rFonts w:asciiTheme="minorHAnsi" w:eastAsiaTheme="minorEastAsia" w:hAnsiTheme="minorHAnsi" w:cstheme="minorBidi"/>
          <w:b w:val="0"/>
          <w:sz w:val="22"/>
          <w:lang w:eastAsia="en-US"/>
        </w:rPr>
      </w:pPr>
      <w:r w:rsidRPr="00CF6711">
        <w:rPr>
          <w:rFonts w:ascii="Times New Roman" w:hAnsi="Times New Roman"/>
          <w:iCs/>
          <w:sz w:val="22"/>
        </w:rPr>
        <w:lastRenderedPageBreak/>
        <w:fldChar w:fldCharType="begin"/>
      </w:r>
      <w:r w:rsidRPr="00CF6711">
        <w:rPr>
          <w:rFonts w:ascii="Times New Roman" w:hAnsi="Times New Roman"/>
          <w:iCs/>
          <w:sz w:val="22"/>
        </w:rPr>
        <w:instrText xml:space="preserve"> TOC \n \h \z \t "Reference;1;Proposal;1" </w:instrText>
      </w:r>
      <w:r w:rsidRPr="00CF6711">
        <w:rPr>
          <w:rFonts w:ascii="Times New Roman" w:hAnsi="Times New Roman"/>
          <w:iCs/>
          <w:sz w:val="22"/>
        </w:rPr>
        <w:fldChar w:fldCharType="separate"/>
      </w:r>
      <w:hyperlink w:anchor="_Toc506553710" w:history="1">
        <w:r w:rsidR="007C712E" w:rsidRPr="008D597D">
          <w:rPr>
            <w:rStyle w:val="Hyperlink"/>
            <w:rFonts w:ascii="Times New Roman" w:eastAsia="MS Mincho" w:hAnsi="Times New Roman"/>
          </w:rPr>
          <w:t>Proposal 1</w:t>
        </w:r>
        <w:r w:rsidR="007C712E">
          <w:rPr>
            <w:rFonts w:asciiTheme="minorHAnsi" w:eastAsiaTheme="minorEastAsia" w:hAnsiTheme="minorHAnsi" w:cstheme="minorBidi"/>
            <w:b w:val="0"/>
            <w:sz w:val="22"/>
            <w:lang w:eastAsia="en-US"/>
          </w:rPr>
          <w:tab/>
        </w:r>
        <w:r w:rsidR="007C712E" w:rsidRPr="008D597D">
          <w:rPr>
            <w:rStyle w:val="Hyperlink"/>
            <w:rFonts w:ascii="Times New Roman" w:eastAsia="MS Mincho" w:hAnsi="Times New Roman"/>
          </w:rPr>
          <w:t>30 kHz and 60 kHz subcarrier spacing are considered for NR unlicensed @ 5 GHz and 6GHz.</w:t>
        </w:r>
      </w:hyperlink>
    </w:p>
    <w:p w14:paraId="383938A0" w14:textId="77777777" w:rsidR="007C712E" w:rsidRDefault="007C712E">
      <w:pPr>
        <w:pStyle w:val="TOC1"/>
        <w:rPr>
          <w:rFonts w:asciiTheme="minorHAnsi" w:eastAsiaTheme="minorEastAsia" w:hAnsiTheme="minorHAnsi" w:cstheme="minorBidi"/>
          <w:b w:val="0"/>
          <w:sz w:val="22"/>
          <w:lang w:eastAsia="en-US"/>
        </w:rPr>
      </w:pPr>
      <w:hyperlink w:anchor="_Toc506553711" w:history="1">
        <w:r w:rsidRPr="008D597D">
          <w:rPr>
            <w:rStyle w:val="Hyperlink"/>
            <w:rFonts w:ascii="Times New Roman" w:eastAsia="MS Mincho" w:hAnsi="Times New Roman"/>
          </w:rPr>
          <w:t>Proposal 2</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NR-U should support both dynamic and semi-static DL/UL configurations.</w:t>
        </w:r>
      </w:hyperlink>
    </w:p>
    <w:p w14:paraId="063E36AF" w14:textId="77777777" w:rsidR="007C712E" w:rsidRDefault="007C712E">
      <w:pPr>
        <w:pStyle w:val="TOC1"/>
        <w:rPr>
          <w:rFonts w:asciiTheme="minorHAnsi" w:eastAsiaTheme="minorEastAsia" w:hAnsiTheme="minorHAnsi" w:cstheme="minorBidi"/>
          <w:b w:val="0"/>
          <w:sz w:val="22"/>
          <w:lang w:eastAsia="en-US"/>
        </w:rPr>
      </w:pPr>
      <w:hyperlink w:anchor="_Toc506553712" w:history="1">
        <w:r w:rsidRPr="008D597D">
          <w:rPr>
            <w:rStyle w:val="Hyperlink"/>
            <w:rFonts w:ascii="Times New Roman" w:eastAsia="MS Mincho" w:hAnsi="Times New Roman"/>
          </w:rPr>
          <w:t>Proposal 3</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NR-U should support non-slot based scheduling.</w:t>
        </w:r>
      </w:hyperlink>
    </w:p>
    <w:p w14:paraId="1BC481E9" w14:textId="77777777" w:rsidR="007C712E" w:rsidRDefault="007C712E">
      <w:pPr>
        <w:pStyle w:val="TOC1"/>
        <w:rPr>
          <w:rFonts w:asciiTheme="minorHAnsi" w:eastAsiaTheme="minorEastAsia" w:hAnsiTheme="minorHAnsi" w:cstheme="minorBidi"/>
          <w:b w:val="0"/>
          <w:sz w:val="22"/>
          <w:lang w:eastAsia="en-US"/>
        </w:rPr>
      </w:pPr>
      <w:hyperlink w:anchor="_Toc506553713" w:history="1">
        <w:r w:rsidRPr="008D597D">
          <w:rPr>
            <w:rStyle w:val="Hyperlink"/>
            <w:rFonts w:ascii="Times New Roman" w:eastAsia="MS Mincho" w:hAnsi="Times New Roman"/>
          </w:rPr>
          <w:t>Proposal 4</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Adopt interlacing transmissions for NR-U UL.</w:t>
        </w:r>
      </w:hyperlink>
    </w:p>
    <w:p w14:paraId="5CB8932C" w14:textId="77777777" w:rsidR="007C712E" w:rsidRDefault="007C712E">
      <w:pPr>
        <w:pStyle w:val="TOC1"/>
        <w:rPr>
          <w:rFonts w:asciiTheme="minorHAnsi" w:eastAsiaTheme="minorEastAsia" w:hAnsiTheme="minorHAnsi" w:cstheme="minorBidi"/>
          <w:b w:val="0"/>
          <w:sz w:val="22"/>
          <w:lang w:eastAsia="en-US"/>
        </w:rPr>
      </w:pPr>
      <w:hyperlink w:anchor="_Toc506553714" w:history="1">
        <w:r w:rsidRPr="008D597D">
          <w:rPr>
            <w:rStyle w:val="Hyperlink"/>
            <w:rFonts w:ascii="Times New Roman" w:eastAsia="MS Mincho" w:hAnsi="Times New Roman"/>
          </w:rPr>
          <w:t>Proposal 5</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 xml:space="preserve">Interlace designs for NR-U should balance the trade-offs between supporting maximum transmit power, minimizing signalling overhead, enabling flexible resource allocations, and ensuring suitability for different </w:t>
        </w:r>
        <w:r w:rsidRPr="008D597D">
          <w:rPr>
            <w:rStyle w:val="Hyperlink"/>
            <w:rFonts w:ascii="Times New Roman" w:eastAsia="MS Mincho" w:hAnsi="Times New Roman"/>
            <w:spacing w:val="2"/>
            <w:lang w:eastAsia="en-US"/>
          </w:rPr>
          <w:t>physical uplink channels.</w:t>
        </w:r>
      </w:hyperlink>
    </w:p>
    <w:p w14:paraId="2FF2DC6C" w14:textId="77777777" w:rsidR="007C712E" w:rsidRDefault="007C712E">
      <w:pPr>
        <w:pStyle w:val="TOC1"/>
        <w:rPr>
          <w:rFonts w:asciiTheme="minorHAnsi" w:eastAsiaTheme="minorEastAsia" w:hAnsiTheme="minorHAnsi" w:cstheme="minorBidi"/>
          <w:b w:val="0"/>
          <w:sz w:val="22"/>
          <w:lang w:eastAsia="en-US"/>
        </w:rPr>
      </w:pPr>
      <w:hyperlink w:anchor="_Toc506553715" w:history="1">
        <w:r w:rsidRPr="008D597D">
          <w:rPr>
            <w:rStyle w:val="Hyperlink"/>
            <w:rFonts w:ascii="Times New Roman" w:eastAsia="MS Mincho" w:hAnsi="Times New Roman"/>
          </w:rPr>
          <w:t>Proposal 6</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It is beneficial to support autonomous uplink data transmissions on pre-allocated resources on NR-U Cells to reduce signaling overhead and latency.</w:t>
        </w:r>
      </w:hyperlink>
    </w:p>
    <w:p w14:paraId="12FEE21F" w14:textId="77777777" w:rsidR="007C712E" w:rsidRDefault="007C712E">
      <w:pPr>
        <w:pStyle w:val="TOC1"/>
        <w:rPr>
          <w:rFonts w:asciiTheme="minorHAnsi" w:eastAsiaTheme="minorEastAsia" w:hAnsiTheme="minorHAnsi" w:cstheme="minorBidi"/>
          <w:b w:val="0"/>
          <w:sz w:val="22"/>
          <w:lang w:eastAsia="en-US"/>
        </w:rPr>
      </w:pPr>
      <w:hyperlink w:anchor="_Toc506553716" w:history="1">
        <w:r w:rsidRPr="008D597D">
          <w:rPr>
            <w:rStyle w:val="Hyperlink"/>
            <w:rFonts w:ascii="Times New Roman" w:eastAsia="MS Mincho" w:hAnsi="Times New Roman"/>
          </w:rPr>
          <w:t>Proposal 7</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The autonomous UL functionality for NR-U can be achieved by using Type 1 and Type 2 configured UL specified in NR Rel-15 with some additional enhancements</w:t>
        </w:r>
      </w:hyperlink>
    </w:p>
    <w:p w14:paraId="57356C4B" w14:textId="77777777" w:rsidR="007C712E" w:rsidRDefault="007C712E">
      <w:pPr>
        <w:pStyle w:val="TOC1"/>
        <w:rPr>
          <w:rFonts w:asciiTheme="minorHAnsi" w:eastAsiaTheme="minorEastAsia" w:hAnsiTheme="minorHAnsi" w:cstheme="minorBidi"/>
          <w:b w:val="0"/>
          <w:sz w:val="22"/>
          <w:lang w:eastAsia="en-US"/>
        </w:rPr>
      </w:pPr>
      <w:hyperlink w:anchor="_Toc506553717" w:history="1">
        <w:r w:rsidRPr="008D597D">
          <w:rPr>
            <w:rStyle w:val="Hyperlink"/>
            <w:rFonts w:ascii="Times New Roman" w:eastAsia="MS Mincho" w:hAnsi="Times New Roman"/>
          </w:rPr>
          <w:t>a.</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For the NR autonomous UL access, asynchronous HARQ should be supported whereby the HARQ ID associated with a TB is not tied to the slot index.</w:t>
        </w:r>
      </w:hyperlink>
    </w:p>
    <w:p w14:paraId="37885974" w14:textId="77777777" w:rsidR="007C712E" w:rsidRDefault="007C712E">
      <w:pPr>
        <w:pStyle w:val="TOC1"/>
        <w:rPr>
          <w:rFonts w:asciiTheme="minorHAnsi" w:eastAsiaTheme="minorEastAsia" w:hAnsiTheme="minorHAnsi" w:cstheme="minorBidi"/>
          <w:b w:val="0"/>
          <w:sz w:val="22"/>
          <w:lang w:eastAsia="en-US"/>
        </w:rPr>
      </w:pPr>
      <w:hyperlink w:anchor="_Toc506553718" w:history="1">
        <w:r w:rsidRPr="008D597D">
          <w:rPr>
            <w:rStyle w:val="Hyperlink"/>
            <w:rFonts w:ascii="Times New Roman" w:eastAsia="MS Mincho" w:hAnsi="Times New Roman"/>
          </w:rPr>
          <w:t>b.</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For the NR autonomous UL access, specify new format for downlink feedback information that enables carrying pending HARQ feedback for several uplink transmissions from the same UE.</w:t>
        </w:r>
      </w:hyperlink>
    </w:p>
    <w:p w14:paraId="04DC99AD" w14:textId="77777777" w:rsidR="007C712E" w:rsidRDefault="007C712E">
      <w:pPr>
        <w:pStyle w:val="TOC1"/>
        <w:rPr>
          <w:rFonts w:asciiTheme="minorHAnsi" w:eastAsiaTheme="minorEastAsia" w:hAnsiTheme="minorHAnsi" w:cstheme="minorBidi"/>
          <w:b w:val="0"/>
          <w:sz w:val="22"/>
          <w:lang w:eastAsia="en-US"/>
        </w:rPr>
      </w:pPr>
      <w:hyperlink w:anchor="_Toc506553719" w:history="1">
        <w:r w:rsidRPr="008D597D">
          <w:rPr>
            <w:rStyle w:val="Hyperlink"/>
            <w:rFonts w:ascii="Times New Roman" w:eastAsia="MS Mincho" w:hAnsi="Times New Roman"/>
          </w:rPr>
          <w:t>Proposal 8</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Specify support for PRACH for both standalone and non-standalone NR-U.</w:t>
        </w:r>
      </w:hyperlink>
    </w:p>
    <w:p w14:paraId="1E002FDB" w14:textId="77777777" w:rsidR="007C712E" w:rsidRDefault="007C712E">
      <w:pPr>
        <w:pStyle w:val="TOC1"/>
        <w:rPr>
          <w:rFonts w:asciiTheme="minorHAnsi" w:eastAsiaTheme="minorEastAsia" w:hAnsiTheme="minorHAnsi" w:cstheme="minorBidi"/>
          <w:b w:val="0"/>
          <w:sz w:val="22"/>
          <w:lang w:eastAsia="en-US"/>
        </w:rPr>
      </w:pPr>
      <w:hyperlink w:anchor="_Toc506553720" w:history="1">
        <w:r w:rsidRPr="008D597D">
          <w:rPr>
            <w:rStyle w:val="Hyperlink"/>
            <w:rFonts w:ascii="Times New Roman" w:eastAsia="MS Mincho" w:hAnsi="Times New Roman"/>
          </w:rPr>
          <w:t>Proposal 9</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Support simplified RACH procedure consisting of two main steps.</w:t>
        </w:r>
      </w:hyperlink>
    </w:p>
    <w:p w14:paraId="0838AC45" w14:textId="77777777" w:rsidR="007C712E" w:rsidRDefault="007C712E">
      <w:pPr>
        <w:pStyle w:val="TOC1"/>
        <w:rPr>
          <w:rFonts w:asciiTheme="minorHAnsi" w:eastAsiaTheme="minorEastAsia" w:hAnsiTheme="minorHAnsi" w:cstheme="minorBidi"/>
          <w:b w:val="0"/>
          <w:sz w:val="22"/>
          <w:lang w:eastAsia="en-US"/>
        </w:rPr>
      </w:pPr>
      <w:hyperlink w:anchor="_Toc506553721" w:history="1">
        <w:r w:rsidRPr="008D597D">
          <w:rPr>
            <w:rStyle w:val="Hyperlink"/>
            <w:rFonts w:ascii="Times New Roman" w:eastAsia="MS Mincho" w:hAnsi="Times New Roman"/>
          </w:rPr>
          <w:t>Proposal 10</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NR-U should support short PRACH sequence length</w:t>
        </w:r>
      </w:hyperlink>
    </w:p>
    <w:p w14:paraId="01358007" w14:textId="77777777" w:rsidR="007C712E" w:rsidRDefault="007C712E">
      <w:pPr>
        <w:pStyle w:val="TOC1"/>
        <w:rPr>
          <w:rFonts w:asciiTheme="minorHAnsi" w:eastAsiaTheme="minorEastAsia" w:hAnsiTheme="minorHAnsi" w:cstheme="minorBidi"/>
          <w:b w:val="0"/>
          <w:sz w:val="22"/>
          <w:lang w:eastAsia="en-US"/>
        </w:rPr>
      </w:pPr>
      <w:hyperlink w:anchor="_Toc506553722" w:history="1">
        <w:r w:rsidRPr="008D597D">
          <w:rPr>
            <w:rStyle w:val="Hyperlink"/>
            <w:rFonts w:ascii="Times New Roman" w:eastAsia="MS Mincho" w:hAnsi="Times New Roman"/>
          </w:rPr>
          <w:t>Proposal 11</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Need to support interlaced PRACH resource allocation for a UE</w:t>
        </w:r>
      </w:hyperlink>
    </w:p>
    <w:p w14:paraId="7C7D3F6A" w14:textId="77777777" w:rsidR="007C712E" w:rsidRDefault="007C712E">
      <w:pPr>
        <w:pStyle w:val="TOC1"/>
        <w:rPr>
          <w:rFonts w:asciiTheme="minorHAnsi" w:eastAsiaTheme="minorEastAsia" w:hAnsiTheme="minorHAnsi" w:cstheme="minorBidi"/>
          <w:b w:val="0"/>
          <w:sz w:val="22"/>
          <w:lang w:eastAsia="en-US"/>
        </w:rPr>
      </w:pPr>
      <w:hyperlink w:anchor="_Toc506553723" w:history="1">
        <w:r w:rsidRPr="008D597D">
          <w:rPr>
            <w:rStyle w:val="Hyperlink"/>
            <w:rFonts w:ascii="Times New Roman" w:eastAsia="MS Mincho" w:hAnsi="Times New Roman"/>
          </w:rPr>
          <w:t>Proposal 12</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For below 6GHz NR-U operation, numerology for RACH preamble should include 60 kHz.</w:t>
        </w:r>
      </w:hyperlink>
    </w:p>
    <w:p w14:paraId="6BF6D286" w14:textId="77777777" w:rsidR="007C712E" w:rsidRDefault="007C712E">
      <w:pPr>
        <w:pStyle w:val="TOC1"/>
        <w:rPr>
          <w:rFonts w:asciiTheme="minorHAnsi" w:eastAsiaTheme="minorEastAsia" w:hAnsiTheme="minorHAnsi" w:cstheme="minorBidi"/>
          <w:b w:val="0"/>
          <w:sz w:val="22"/>
          <w:lang w:eastAsia="en-US"/>
        </w:rPr>
      </w:pPr>
      <w:hyperlink w:anchor="_Toc506553724" w:history="1">
        <w:r w:rsidRPr="008D597D">
          <w:rPr>
            <w:rStyle w:val="Hyperlink"/>
            <w:rFonts w:ascii="Times New Roman" w:eastAsia="MS Mincho" w:hAnsi="Times New Roman"/>
          </w:rPr>
          <w:t>Proposal 13</w:t>
        </w:r>
        <w:r>
          <w:rPr>
            <w:rFonts w:asciiTheme="minorHAnsi" w:eastAsiaTheme="minorEastAsia" w:hAnsiTheme="minorHAnsi" w:cstheme="minorBidi"/>
            <w:b w:val="0"/>
            <w:sz w:val="22"/>
            <w:lang w:eastAsia="en-US"/>
          </w:rPr>
          <w:tab/>
        </w:r>
        <w:r w:rsidRPr="008D597D">
          <w:rPr>
            <w:rStyle w:val="Hyperlink"/>
            <w:rFonts w:ascii="Times New Roman" w:eastAsia="MS Mincho" w:hAnsi="Times New Roman"/>
          </w:rPr>
          <w:t>For NR, introduce a concept similar to the Rel-13 Discovery Reference Signal (DRS).</w:t>
        </w:r>
      </w:hyperlink>
    </w:p>
    <w:p w14:paraId="08D94B77" w14:textId="654CD962" w:rsidR="00424DB8" w:rsidRPr="00C979A2" w:rsidRDefault="00D5799B" w:rsidP="00C979A2">
      <w:pPr>
        <w:pStyle w:val="TOC1"/>
        <w:ind w:left="0" w:firstLine="0"/>
        <w:rPr>
          <w:iCs/>
        </w:rPr>
      </w:pPr>
      <w:r w:rsidRPr="00CF6711">
        <w:rPr>
          <w:rFonts w:ascii="Times New Roman" w:hAnsi="Times New Roman"/>
          <w:iCs/>
          <w:sz w:val="22"/>
        </w:rPr>
        <w:fldChar w:fldCharType="end"/>
      </w:r>
    </w:p>
    <w:p w14:paraId="15DE84EB" w14:textId="77777777" w:rsidR="00557EB8" w:rsidRDefault="00557EB8" w:rsidP="00557EB8">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t>Reference</w:t>
      </w:r>
      <w:r w:rsidRPr="00AA4666">
        <w:rPr>
          <w:lang w:eastAsia="ja-JP"/>
        </w:rPr>
        <w:t>s</w:t>
      </w:r>
    </w:p>
    <w:p w14:paraId="149DF3C1" w14:textId="301085A3" w:rsidR="00557EB8" w:rsidRPr="002B03FD" w:rsidRDefault="00733DE2" w:rsidP="003D63F9">
      <w:pPr>
        <w:pStyle w:val="BodyText"/>
        <w:numPr>
          <w:ilvl w:val="0"/>
          <w:numId w:val="8"/>
        </w:numPr>
        <w:rPr>
          <w:szCs w:val="22"/>
          <w:lang w:val="en-GB" w:eastAsia="ja-JP"/>
        </w:rPr>
      </w:pPr>
      <w:bookmarkStart w:id="40" w:name="_Ref479756368"/>
      <w:bookmarkStart w:id="41" w:name="_Ref481486326"/>
      <w:bookmarkStart w:id="42" w:name="_Ref479755974"/>
      <w:r w:rsidRPr="00F66897">
        <w:rPr>
          <w:szCs w:val="22"/>
        </w:rPr>
        <w:t>RP-172021</w:t>
      </w:r>
      <w:r w:rsidR="00557EB8" w:rsidRPr="00F66897">
        <w:rPr>
          <w:szCs w:val="22"/>
        </w:rPr>
        <w:t>, “</w:t>
      </w:r>
      <w:r w:rsidR="00557EB8" w:rsidRPr="002B03FD">
        <w:rPr>
          <w:szCs w:val="22"/>
        </w:rPr>
        <w:t>New SID on NR-based Access to Unlicensed Spectrum”, Qualcomm</w:t>
      </w:r>
      <w:bookmarkEnd w:id="40"/>
      <w:r w:rsidR="00557EB8" w:rsidRPr="002B03FD">
        <w:rPr>
          <w:szCs w:val="22"/>
        </w:rPr>
        <w:t>.</w:t>
      </w:r>
      <w:bookmarkEnd w:id="41"/>
    </w:p>
    <w:p w14:paraId="04E38B9F" w14:textId="43BD5297" w:rsidR="00494F75" w:rsidRPr="00477E52" w:rsidRDefault="00494F75" w:rsidP="00494F75">
      <w:pPr>
        <w:pStyle w:val="BodyText"/>
        <w:numPr>
          <w:ilvl w:val="0"/>
          <w:numId w:val="8"/>
        </w:numPr>
        <w:rPr>
          <w:szCs w:val="22"/>
          <w:lang w:val="en-GB" w:eastAsia="ja-JP"/>
        </w:rPr>
      </w:pPr>
      <w:bookmarkStart w:id="43" w:name="_Ref506538354"/>
      <w:r w:rsidRPr="00477E52">
        <w:rPr>
          <w:szCs w:val="22"/>
          <w:lang w:val="en-GB" w:eastAsia="ja-JP"/>
        </w:rPr>
        <w:t>R1-1802781</w:t>
      </w:r>
      <w:proofErr w:type="gramStart"/>
      <w:r w:rsidR="00477E52" w:rsidRPr="00477E52">
        <w:rPr>
          <w:szCs w:val="22"/>
          <w:lang w:val="en-GB" w:eastAsia="ja-JP"/>
        </w:rPr>
        <w:t>, ”Numerology</w:t>
      </w:r>
      <w:proofErr w:type="gramEnd"/>
      <w:r w:rsidRPr="00477E52">
        <w:rPr>
          <w:szCs w:val="22"/>
          <w:lang w:val="en-GB" w:eastAsia="ja-JP"/>
        </w:rPr>
        <w:t xml:space="preserve"> for NR operation in unlicensed spectrum”, Ericsson</w:t>
      </w:r>
      <w:bookmarkEnd w:id="43"/>
      <w:r w:rsidR="00477E52" w:rsidRPr="00477E52">
        <w:rPr>
          <w:szCs w:val="22"/>
          <w:lang w:val="en-GB" w:eastAsia="ja-JP"/>
        </w:rPr>
        <w:t>.</w:t>
      </w:r>
    </w:p>
    <w:p w14:paraId="33DD2C54" w14:textId="35951E63" w:rsidR="00364C2C" w:rsidRPr="00477E52" w:rsidRDefault="00364C2C" w:rsidP="00364C2C">
      <w:pPr>
        <w:pStyle w:val="BodyText"/>
        <w:numPr>
          <w:ilvl w:val="0"/>
          <w:numId w:val="8"/>
        </w:numPr>
        <w:rPr>
          <w:szCs w:val="22"/>
          <w:lang w:val="en-GB" w:eastAsia="ja-JP"/>
        </w:rPr>
      </w:pPr>
      <w:bookmarkStart w:id="44" w:name="_Ref506538439"/>
      <w:r w:rsidRPr="00477E52">
        <w:rPr>
          <w:szCs w:val="22"/>
          <w:lang w:val="en-GB" w:eastAsia="ja-JP"/>
        </w:rPr>
        <w:t>R1-1802779,</w:t>
      </w:r>
      <w:r w:rsidR="00477E52" w:rsidRPr="00477E52">
        <w:rPr>
          <w:szCs w:val="22"/>
          <w:lang w:val="en-GB" w:eastAsia="ja-JP"/>
        </w:rPr>
        <w:t xml:space="preserve"> </w:t>
      </w:r>
      <w:r w:rsidRPr="00477E52">
        <w:rPr>
          <w:szCs w:val="22"/>
          <w:lang w:val="en-GB" w:eastAsia="ja-JP"/>
        </w:rPr>
        <w:t>“On Frame Structure for NR in Unlicensed Spectrum”, Ericsson</w:t>
      </w:r>
      <w:bookmarkEnd w:id="44"/>
      <w:r w:rsidR="00477E52" w:rsidRPr="00477E52">
        <w:rPr>
          <w:szCs w:val="22"/>
          <w:lang w:val="en-GB" w:eastAsia="ja-JP"/>
        </w:rPr>
        <w:t>.</w:t>
      </w:r>
    </w:p>
    <w:p w14:paraId="6C3E7ED8" w14:textId="755AEEFB" w:rsidR="00477E52" w:rsidRPr="00477E52" w:rsidRDefault="00477E52" w:rsidP="00E17C3D">
      <w:pPr>
        <w:pStyle w:val="BodyText"/>
        <w:numPr>
          <w:ilvl w:val="0"/>
          <w:numId w:val="8"/>
        </w:numPr>
        <w:rPr>
          <w:szCs w:val="22"/>
          <w:lang w:val="en-GB" w:eastAsia="ja-JP"/>
        </w:rPr>
      </w:pPr>
      <w:bookmarkStart w:id="45" w:name="_Ref506538725"/>
      <w:r w:rsidRPr="00477E52">
        <w:rPr>
          <w:szCs w:val="22"/>
          <w:lang w:val="en-GB" w:eastAsia="ja-JP"/>
        </w:rPr>
        <w:t>ETSI EN 301 893, Broadband Radio Access Networks (BRAN); 5GHz high performance RLAN; Harmonized EN covering the essential requirements of article 3.2 of the R&amp;TTE Directive, v1.8.1, Mar. 2015.</w:t>
      </w:r>
      <w:bookmarkEnd w:id="45"/>
    </w:p>
    <w:p w14:paraId="3C8F18EE" w14:textId="4C90AAD1" w:rsidR="00477E52" w:rsidRPr="002B03FD" w:rsidRDefault="00477E52" w:rsidP="00477E52">
      <w:pPr>
        <w:pStyle w:val="BodyText"/>
        <w:numPr>
          <w:ilvl w:val="0"/>
          <w:numId w:val="8"/>
        </w:numPr>
        <w:rPr>
          <w:szCs w:val="22"/>
          <w:lang w:val="en-GB" w:eastAsia="ja-JP"/>
        </w:rPr>
      </w:pPr>
      <w:bookmarkStart w:id="46" w:name="_Ref506538700"/>
      <w:r w:rsidRPr="00477E52">
        <w:rPr>
          <w:szCs w:val="22"/>
        </w:rPr>
        <w:t>R1-1802776</w:t>
      </w:r>
      <w:r w:rsidRPr="00F66897">
        <w:rPr>
          <w:szCs w:val="22"/>
        </w:rPr>
        <w:t xml:space="preserve">, “On </w:t>
      </w:r>
      <w:r w:rsidRPr="002B03FD">
        <w:rPr>
          <w:szCs w:val="22"/>
        </w:rPr>
        <w:t>Interlace Design for NR-U Uplink</w:t>
      </w:r>
      <w:r w:rsidRPr="00F66897">
        <w:rPr>
          <w:szCs w:val="22"/>
        </w:rPr>
        <w:t>”, Ericsson.</w:t>
      </w:r>
      <w:bookmarkEnd w:id="46"/>
    </w:p>
    <w:p w14:paraId="64F5F34F" w14:textId="529B5F3D" w:rsidR="00684DF6" w:rsidRDefault="00684DF6" w:rsidP="00684DF6">
      <w:pPr>
        <w:pStyle w:val="BodyText"/>
        <w:numPr>
          <w:ilvl w:val="0"/>
          <w:numId w:val="8"/>
        </w:numPr>
        <w:rPr>
          <w:szCs w:val="22"/>
          <w:lang w:val="en-GB" w:eastAsia="ja-JP"/>
        </w:rPr>
      </w:pPr>
      <w:bookmarkStart w:id="47" w:name="_Ref506538833"/>
      <w:r w:rsidRPr="00684DF6">
        <w:rPr>
          <w:szCs w:val="22"/>
          <w:lang w:val="en-GB" w:eastAsia="ja-JP"/>
        </w:rPr>
        <w:t>R1-1802780</w:t>
      </w:r>
      <w:r>
        <w:rPr>
          <w:szCs w:val="22"/>
          <w:lang w:val="en-GB" w:eastAsia="ja-JP"/>
        </w:rPr>
        <w:t>, “</w:t>
      </w:r>
      <w:r w:rsidRPr="00684DF6">
        <w:rPr>
          <w:szCs w:val="22"/>
          <w:lang w:val="en-GB" w:eastAsia="ja-JP"/>
        </w:rPr>
        <w:t>On Autonomous UL Transmissions for NR in Unlicensed Spectrum</w:t>
      </w:r>
      <w:r>
        <w:rPr>
          <w:szCs w:val="22"/>
          <w:lang w:val="en-GB" w:eastAsia="ja-JP"/>
        </w:rPr>
        <w:t>”, Ericsson.</w:t>
      </w:r>
      <w:bookmarkEnd w:id="47"/>
    </w:p>
    <w:p w14:paraId="2DA18007" w14:textId="3A55FA62" w:rsidR="007474D2" w:rsidRPr="00F66897" w:rsidRDefault="00AD5762" w:rsidP="00F66897">
      <w:pPr>
        <w:pStyle w:val="BodyText"/>
        <w:numPr>
          <w:ilvl w:val="0"/>
          <w:numId w:val="8"/>
        </w:numPr>
        <w:rPr>
          <w:szCs w:val="22"/>
          <w:lang w:val="en-GB" w:eastAsia="ja-JP"/>
        </w:rPr>
      </w:pPr>
      <w:bookmarkStart w:id="48" w:name="_Ref506552600"/>
      <w:r w:rsidRPr="00AD5762">
        <w:rPr>
          <w:szCs w:val="22"/>
          <w:lang w:val="en-GB" w:eastAsia="ja-JP"/>
        </w:rPr>
        <w:t>R1-1802778</w:t>
      </w:r>
      <w:proofErr w:type="gramStart"/>
      <w:r w:rsidR="007474D2">
        <w:rPr>
          <w:szCs w:val="22"/>
          <w:lang w:val="en-GB" w:eastAsia="ja-JP"/>
        </w:rPr>
        <w:t>, ”</w:t>
      </w:r>
      <w:r w:rsidR="007474D2" w:rsidRPr="007474D2">
        <w:rPr>
          <w:szCs w:val="22"/>
          <w:lang w:val="en-GB" w:eastAsia="ja-JP"/>
        </w:rPr>
        <w:t>On</w:t>
      </w:r>
      <w:proofErr w:type="gramEnd"/>
      <w:r w:rsidR="007474D2" w:rsidRPr="007474D2">
        <w:rPr>
          <w:szCs w:val="22"/>
          <w:lang w:val="en-GB" w:eastAsia="ja-JP"/>
        </w:rPr>
        <w:t xml:space="preserve"> PRACH for NR in Unlicensed Spectrum</w:t>
      </w:r>
      <w:r w:rsidR="007474D2">
        <w:rPr>
          <w:szCs w:val="22"/>
          <w:lang w:val="en-GB" w:eastAsia="ja-JP"/>
        </w:rPr>
        <w:t>”, Ericsson.</w:t>
      </w:r>
      <w:bookmarkEnd w:id="48"/>
    </w:p>
    <w:p w14:paraId="7142832D" w14:textId="05734F47" w:rsidR="00EC23B5" w:rsidRPr="002B03FD" w:rsidRDefault="001C52EB" w:rsidP="002B03FD">
      <w:pPr>
        <w:pStyle w:val="BodyText"/>
        <w:numPr>
          <w:ilvl w:val="0"/>
          <w:numId w:val="8"/>
        </w:numPr>
        <w:rPr>
          <w:szCs w:val="22"/>
          <w:lang w:val="en-GB" w:eastAsia="ja-JP"/>
        </w:rPr>
      </w:pPr>
      <w:bookmarkStart w:id="49" w:name="_Ref505929875"/>
      <w:r w:rsidRPr="001C52EB">
        <w:rPr>
          <w:szCs w:val="22"/>
        </w:rPr>
        <w:t>R1-1802777</w:t>
      </w:r>
      <w:r w:rsidR="00960DFD" w:rsidRPr="00F66897">
        <w:rPr>
          <w:szCs w:val="22"/>
        </w:rPr>
        <w:t xml:space="preserve">, “On the introduction of a Discovery Reference Signal”, </w:t>
      </w:r>
      <w:r w:rsidR="00960DFD" w:rsidRPr="002B03FD">
        <w:rPr>
          <w:szCs w:val="22"/>
        </w:rPr>
        <w:t>Ericsson</w:t>
      </w:r>
      <w:bookmarkEnd w:id="49"/>
      <w:r w:rsidR="00BB7F9E" w:rsidRPr="002B03FD">
        <w:rPr>
          <w:szCs w:val="22"/>
        </w:rPr>
        <w:t xml:space="preserve">. </w:t>
      </w:r>
    </w:p>
    <w:bookmarkEnd w:id="42"/>
    <w:p w14:paraId="1330D5CC" w14:textId="77777777" w:rsidR="00022DEC" w:rsidRPr="002B0FD8" w:rsidRDefault="00022DEC">
      <w:pPr>
        <w:rPr>
          <w:lang w:val="en-GB"/>
        </w:rPr>
      </w:pPr>
    </w:p>
    <w:sectPr w:rsidR="00022DEC" w:rsidRPr="002B0FD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E445C" w14:textId="77777777" w:rsidR="00D07DFC" w:rsidRDefault="00D07DFC">
      <w:r>
        <w:separator/>
      </w:r>
    </w:p>
  </w:endnote>
  <w:endnote w:type="continuationSeparator" w:id="0">
    <w:p w14:paraId="1127A6B8" w14:textId="77777777" w:rsidR="00D07DFC" w:rsidRDefault="00D07DFC">
      <w:r>
        <w:continuationSeparator/>
      </w:r>
    </w:p>
  </w:endnote>
  <w:endnote w:type="continuationNotice" w:id="1">
    <w:p w14:paraId="0D68C176" w14:textId="77777777" w:rsidR="00D07DFC" w:rsidRDefault="00D07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9D5D8" w14:textId="0AD90EC7"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C712E">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712E">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4AC93" w14:textId="77777777" w:rsidR="00D07DFC" w:rsidRDefault="00D07DFC">
      <w:r>
        <w:separator/>
      </w:r>
    </w:p>
  </w:footnote>
  <w:footnote w:type="continuationSeparator" w:id="0">
    <w:p w14:paraId="2ACB022A" w14:textId="77777777" w:rsidR="00D07DFC" w:rsidRDefault="00D07DFC">
      <w:r>
        <w:continuationSeparator/>
      </w:r>
    </w:p>
  </w:footnote>
  <w:footnote w:type="continuationNotice" w:id="1">
    <w:p w14:paraId="40AC5064" w14:textId="77777777" w:rsidR="00D07DFC" w:rsidRDefault="00D07D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95CD"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46B27"/>
    <w:multiLevelType w:val="hybridMultilevel"/>
    <w:tmpl w:val="1D1A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4" w15:restartNumberingAfterBreak="0">
    <w:nsid w:val="29D33492"/>
    <w:multiLevelType w:val="hybridMultilevel"/>
    <w:tmpl w:val="7F50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2F261B"/>
    <w:multiLevelType w:val="hybridMultilevel"/>
    <w:tmpl w:val="3D1A9C48"/>
    <w:lvl w:ilvl="0" w:tplc="98A8FE50">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9" w15:restartNumberingAfterBreak="0">
    <w:nsid w:val="7EB3764C"/>
    <w:multiLevelType w:val="hybridMultilevel"/>
    <w:tmpl w:val="14742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6"/>
  </w:num>
  <w:num w:numId="4">
    <w:abstractNumId w:val="2"/>
  </w:num>
  <w:num w:numId="5">
    <w:abstractNumId w:val="18"/>
  </w:num>
  <w:num w:numId="6">
    <w:abstractNumId w:val="14"/>
  </w:num>
  <w:num w:numId="7">
    <w:abstractNumId w:val="13"/>
  </w:num>
  <w:num w:numId="8">
    <w:abstractNumId w:val="12"/>
  </w:num>
  <w:num w:numId="9">
    <w:abstractNumId w:val="16"/>
  </w:num>
  <w:num w:numId="10">
    <w:abstractNumId w:val="7"/>
  </w:num>
  <w:num w:numId="11">
    <w:abstractNumId w:val="5"/>
  </w:num>
  <w:num w:numId="12">
    <w:abstractNumId w:val="11"/>
  </w:num>
  <w:num w:numId="13">
    <w:abstractNumId w:val="8"/>
  </w:num>
  <w:num w:numId="14">
    <w:abstractNumId w:val="15"/>
  </w:num>
  <w:num w:numId="15">
    <w:abstractNumId w:val="4"/>
  </w:num>
  <w:num w:numId="16">
    <w:abstractNumId w:val="10"/>
  </w:num>
  <w:num w:numId="17">
    <w:abstractNumId w:val="3"/>
  </w:num>
  <w:num w:numId="18">
    <w:abstractNumId w:val="19"/>
  </w:num>
  <w:num w:numId="19">
    <w:abstractNumId w:val="5"/>
  </w:num>
  <w:num w:numId="20">
    <w:abstractNumId w:val="1"/>
  </w:num>
  <w:num w:numId="21">
    <w:abstractNumId w:val="5"/>
  </w:num>
  <w:num w:numId="22">
    <w:abstractNumId w:val="5"/>
  </w:num>
  <w:num w:numId="23">
    <w:abstractNumId w:val="0"/>
  </w:num>
  <w:num w:numId="24">
    <w:abstractNumId w:val="5"/>
  </w:num>
  <w:num w:numId="25">
    <w:abstractNumId w:val="5"/>
  </w:num>
  <w:num w:numId="26">
    <w:abstractNumId w:val="5"/>
  </w:num>
  <w:num w:numId="27">
    <w:abstractNumId w:val="5"/>
  </w:num>
  <w:num w:numId="28">
    <w:abstractNumId w:val="5"/>
  </w:num>
  <w:num w:numId="2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1F2"/>
    <w:rsid w:val="000255B5"/>
    <w:rsid w:val="00025A9E"/>
    <w:rsid w:val="00025E4A"/>
    <w:rsid w:val="0002655C"/>
    <w:rsid w:val="00026735"/>
    <w:rsid w:val="00027114"/>
    <w:rsid w:val="0002714B"/>
    <w:rsid w:val="0002769C"/>
    <w:rsid w:val="0002787A"/>
    <w:rsid w:val="00030788"/>
    <w:rsid w:val="00030AD7"/>
    <w:rsid w:val="00031629"/>
    <w:rsid w:val="000317B0"/>
    <w:rsid w:val="0003195F"/>
    <w:rsid w:val="00031BBB"/>
    <w:rsid w:val="00031D3C"/>
    <w:rsid w:val="00032971"/>
    <w:rsid w:val="00032B6F"/>
    <w:rsid w:val="00032BB2"/>
    <w:rsid w:val="0003317E"/>
    <w:rsid w:val="00033487"/>
    <w:rsid w:val="000336C1"/>
    <w:rsid w:val="00033B5E"/>
    <w:rsid w:val="00034431"/>
    <w:rsid w:val="00034458"/>
    <w:rsid w:val="00034C5F"/>
    <w:rsid w:val="00034DA5"/>
    <w:rsid w:val="00034FB6"/>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37C"/>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79"/>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99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BB2"/>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69F4"/>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036"/>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3FD0"/>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790"/>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CEA"/>
    <w:rsid w:val="000C7FDB"/>
    <w:rsid w:val="000D0496"/>
    <w:rsid w:val="000D04B4"/>
    <w:rsid w:val="000D04EB"/>
    <w:rsid w:val="000D0814"/>
    <w:rsid w:val="000D093C"/>
    <w:rsid w:val="000D0E2A"/>
    <w:rsid w:val="000D10A3"/>
    <w:rsid w:val="000D1637"/>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C52"/>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32B8"/>
    <w:rsid w:val="000F427B"/>
    <w:rsid w:val="000F4400"/>
    <w:rsid w:val="000F44E4"/>
    <w:rsid w:val="000F473F"/>
    <w:rsid w:val="000F4D15"/>
    <w:rsid w:val="000F4F91"/>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387"/>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397"/>
    <w:rsid w:val="001266B5"/>
    <w:rsid w:val="00127310"/>
    <w:rsid w:val="0012778F"/>
    <w:rsid w:val="00127896"/>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641"/>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1FBE"/>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0D95"/>
    <w:rsid w:val="0017116E"/>
    <w:rsid w:val="001713BA"/>
    <w:rsid w:val="0017181D"/>
    <w:rsid w:val="0017199C"/>
    <w:rsid w:val="00171B2D"/>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2A6E"/>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1ACA"/>
    <w:rsid w:val="001C2184"/>
    <w:rsid w:val="001C2FD0"/>
    <w:rsid w:val="001C318A"/>
    <w:rsid w:val="001C3892"/>
    <w:rsid w:val="001C3F20"/>
    <w:rsid w:val="001C52EB"/>
    <w:rsid w:val="001C54AE"/>
    <w:rsid w:val="001C57EF"/>
    <w:rsid w:val="001C5C6A"/>
    <w:rsid w:val="001C6197"/>
    <w:rsid w:val="001C651D"/>
    <w:rsid w:val="001C6BEF"/>
    <w:rsid w:val="001C6F6B"/>
    <w:rsid w:val="001C7329"/>
    <w:rsid w:val="001C7C1F"/>
    <w:rsid w:val="001D00DB"/>
    <w:rsid w:val="001D06F1"/>
    <w:rsid w:val="001D0D11"/>
    <w:rsid w:val="001D12FF"/>
    <w:rsid w:val="001D1597"/>
    <w:rsid w:val="001D1AED"/>
    <w:rsid w:val="001D1C35"/>
    <w:rsid w:val="001D1E89"/>
    <w:rsid w:val="001D229B"/>
    <w:rsid w:val="001D2394"/>
    <w:rsid w:val="001D38F7"/>
    <w:rsid w:val="001D3E96"/>
    <w:rsid w:val="001D439C"/>
    <w:rsid w:val="001D4881"/>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A19"/>
    <w:rsid w:val="001E1B51"/>
    <w:rsid w:val="001E1C44"/>
    <w:rsid w:val="001E207C"/>
    <w:rsid w:val="001E216A"/>
    <w:rsid w:val="001E23E1"/>
    <w:rsid w:val="001E35D5"/>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5D8"/>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89C"/>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4E9"/>
    <w:rsid w:val="002336A6"/>
    <w:rsid w:val="00233918"/>
    <w:rsid w:val="00233C52"/>
    <w:rsid w:val="00233CF6"/>
    <w:rsid w:val="00233ED8"/>
    <w:rsid w:val="00234305"/>
    <w:rsid w:val="00235198"/>
    <w:rsid w:val="002353EA"/>
    <w:rsid w:val="00235B4A"/>
    <w:rsid w:val="00236779"/>
    <w:rsid w:val="00237035"/>
    <w:rsid w:val="00237E3C"/>
    <w:rsid w:val="00237F23"/>
    <w:rsid w:val="002400FA"/>
    <w:rsid w:val="00240154"/>
    <w:rsid w:val="00240FD0"/>
    <w:rsid w:val="0024166C"/>
    <w:rsid w:val="002418F8"/>
    <w:rsid w:val="0024209B"/>
    <w:rsid w:val="00243562"/>
    <w:rsid w:val="00243667"/>
    <w:rsid w:val="00244194"/>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0E48"/>
    <w:rsid w:val="00251171"/>
    <w:rsid w:val="00252137"/>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65F"/>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084"/>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766"/>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3FD"/>
    <w:rsid w:val="002B06D3"/>
    <w:rsid w:val="002B0FA2"/>
    <w:rsid w:val="002B0FD8"/>
    <w:rsid w:val="002B1101"/>
    <w:rsid w:val="002B1141"/>
    <w:rsid w:val="002B186C"/>
    <w:rsid w:val="002B252F"/>
    <w:rsid w:val="002B267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039B"/>
    <w:rsid w:val="002C100B"/>
    <w:rsid w:val="002C133B"/>
    <w:rsid w:val="002C1359"/>
    <w:rsid w:val="002C159F"/>
    <w:rsid w:val="002C1B3D"/>
    <w:rsid w:val="002C1FFA"/>
    <w:rsid w:val="002C20E1"/>
    <w:rsid w:val="002C282C"/>
    <w:rsid w:val="002C2C16"/>
    <w:rsid w:val="002C2F2C"/>
    <w:rsid w:val="002C2F3A"/>
    <w:rsid w:val="002C2FA9"/>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940"/>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94"/>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2F7F5C"/>
    <w:rsid w:val="0030044B"/>
    <w:rsid w:val="00300D67"/>
    <w:rsid w:val="0030166F"/>
    <w:rsid w:val="0030170B"/>
    <w:rsid w:val="0030260F"/>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590"/>
    <w:rsid w:val="00312FF6"/>
    <w:rsid w:val="00313177"/>
    <w:rsid w:val="003132CB"/>
    <w:rsid w:val="00313831"/>
    <w:rsid w:val="00313E84"/>
    <w:rsid w:val="00314778"/>
    <w:rsid w:val="0031483E"/>
    <w:rsid w:val="00314971"/>
    <w:rsid w:val="00314C18"/>
    <w:rsid w:val="0031544C"/>
    <w:rsid w:val="0031631B"/>
    <w:rsid w:val="00316432"/>
    <w:rsid w:val="00317000"/>
    <w:rsid w:val="0031712C"/>
    <w:rsid w:val="0031748E"/>
    <w:rsid w:val="003178F4"/>
    <w:rsid w:val="00317E6E"/>
    <w:rsid w:val="00320F1A"/>
    <w:rsid w:val="0032146D"/>
    <w:rsid w:val="003215FB"/>
    <w:rsid w:val="0032169B"/>
    <w:rsid w:val="00321CFA"/>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7A1"/>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13"/>
    <w:rsid w:val="00350479"/>
    <w:rsid w:val="00351212"/>
    <w:rsid w:val="00351468"/>
    <w:rsid w:val="00351812"/>
    <w:rsid w:val="00352A4F"/>
    <w:rsid w:val="00352FDA"/>
    <w:rsid w:val="00353184"/>
    <w:rsid w:val="00353A6D"/>
    <w:rsid w:val="003549DB"/>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0C43"/>
    <w:rsid w:val="0036116E"/>
    <w:rsid w:val="003617AA"/>
    <w:rsid w:val="00361A43"/>
    <w:rsid w:val="00363492"/>
    <w:rsid w:val="00364648"/>
    <w:rsid w:val="00364771"/>
    <w:rsid w:val="00364C2C"/>
    <w:rsid w:val="00365499"/>
    <w:rsid w:val="00365ACB"/>
    <w:rsid w:val="00365BEF"/>
    <w:rsid w:val="00366273"/>
    <w:rsid w:val="0036664E"/>
    <w:rsid w:val="0036670C"/>
    <w:rsid w:val="00366DB5"/>
    <w:rsid w:val="0036765C"/>
    <w:rsid w:val="00367C91"/>
    <w:rsid w:val="0037029C"/>
    <w:rsid w:val="00370D20"/>
    <w:rsid w:val="00370F8F"/>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57"/>
    <w:rsid w:val="00380167"/>
    <w:rsid w:val="0038038A"/>
    <w:rsid w:val="003807D3"/>
    <w:rsid w:val="00380C44"/>
    <w:rsid w:val="00381793"/>
    <w:rsid w:val="00381DB1"/>
    <w:rsid w:val="00381FD9"/>
    <w:rsid w:val="003822D2"/>
    <w:rsid w:val="00382F08"/>
    <w:rsid w:val="00383194"/>
    <w:rsid w:val="003832E6"/>
    <w:rsid w:val="00383AF1"/>
    <w:rsid w:val="003840E5"/>
    <w:rsid w:val="00384B7A"/>
    <w:rsid w:val="00384C26"/>
    <w:rsid w:val="00384D92"/>
    <w:rsid w:val="00384EA7"/>
    <w:rsid w:val="0038500E"/>
    <w:rsid w:val="00385AC6"/>
    <w:rsid w:val="00386290"/>
    <w:rsid w:val="0038645C"/>
    <w:rsid w:val="003864CE"/>
    <w:rsid w:val="00386BE8"/>
    <w:rsid w:val="00386C0C"/>
    <w:rsid w:val="00387351"/>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0CC"/>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3FF3"/>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3F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9CE"/>
    <w:rsid w:val="003E5F84"/>
    <w:rsid w:val="003E60E2"/>
    <w:rsid w:val="003E6248"/>
    <w:rsid w:val="003E678D"/>
    <w:rsid w:val="003E685C"/>
    <w:rsid w:val="003E692E"/>
    <w:rsid w:val="003E6D3D"/>
    <w:rsid w:val="003E6D6C"/>
    <w:rsid w:val="003E6DCF"/>
    <w:rsid w:val="003E6E99"/>
    <w:rsid w:val="003E6F95"/>
    <w:rsid w:val="003E7354"/>
    <w:rsid w:val="003E763A"/>
    <w:rsid w:val="003E7CFE"/>
    <w:rsid w:val="003E7D70"/>
    <w:rsid w:val="003F039D"/>
    <w:rsid w:val="003F0469"/>
    <w:rsid w:val="003F0A1C"/>
    <w:rsid w:val="003F0D15"/>
    <w:rsid w:val="003F0DD6"/>
    <w:rsid w:val="003F12DD"/>
    <w:rsid w:val="003F1F40"/>
    <w:rsid w:val="003F2C21"/>
    <w:rsid w:val="003F2D37"/>
    <w:rsid w:val="003F3931"/>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157"/>
    <w:rsid w:val="00414F17"/>
    <w:rsid w:val="00415E71"/>
    <w:rsid w:val="00416BC4"/>
    <w:rsid w:val="00416EBE"/>
    <w:rsid w:val="004170A4"/>
    <w:rsid w:val="004170B0"/>
    <w:rsid w:val="0041755F"/>
    <w:rsid w:val="004175E9"/>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B3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DB9"/>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7E0"/>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E8A"/>
    <w:rsid w:val="00470F82"/>
    <w:rsid w:val="00471062"/>
    <w:rsid w:val="00471BDF"/>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52"/>
    <w:rsid w:val="00477E81"/>
    <w:rsid w:val="004804D9"/>
    <w:rsid w:val="00480598"/>
    <w:rsid w:val="0048068C"/>
    <w:rsid w:val="00480748"/>
    <w:rsid w:val="004808B1"/>
    <w:rsid w:val="004809D8"/>
    <w:rsid w:val="00480BF3"/>
    <w:rsid w:val="0048189D"/>
    <w:rsid w:val="00481B00"/>
    <w:rsid w:val="00481B23"/>
    <w:rsid w:val="00482573"/>
    <w:rsid w:val="0048321D"/>
    <w:rsid w:val="00484381"/>
    <w:rsid w:val="00484977"/>
    <w:rsid w:val="00485DCF"/>
    <w:rsid w:val="00485EFC"/>
    <w:rsid w:val="0048614E"/>
    <w:rsid w:val="0048639C"/>
    <w:rsid w:val="0048678E"/>
    <w:rsid w:val="00486D7E"/>
    <w:rsid w:val="00486DDD"/>
    <w:rsid w:val="004870C8"/>
    <w:rsid w:val="00487BCE"/>
    <w:rsid w:val="00487C8A"/>
    <w:rsid w:val="00487D57"/>
    <w:rsid w:val="00487E56"/>
    <w:rsid w:val="004902B1"/>
    <w:rsid w:val="00490406"/>
    <w:rsid w:val="004911E7"/>
    <w:rsid w:val="004919B6"/>
    <w:rsid w:val="00491F8D"/>
    <w:rsid w:val="00491FD6"/>
    <w:rsid w:val="0049204A"/>
    <w:rsid w:val="00492357"/>
    <w:rsid w:val="004925C1"/>
    <w:rsid w:val="0049265D"/>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F7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5D1"/>
    <w:rsid w:val="004A3C70"/>
    <w:rsid w:val="004A3C88"/>
    <w:rsid w:val="004A3D3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4BEA"/>
    <w:rsid w:val="004C503B"/>
    <w:rsid w:val="004C5E7D"/>
    <w:rsid w:val="004C627B"/>
    <w:rsid w:val="004C6577"/>
    <w:rsid w:val="004C6585"/>
    <w:rsid w:val="004C6830"/>
    <w:rsid w:val="004C6904"/>
    <w:rsid w:val="004C6AD3"/>
    <w:rsid w:val="004C6E9F"/>
    <w:rsid w:val="004C71BF"/>
    <w:rsid w:val="004C791B"/>
    <w:rsid w:val="004C79C9"/>
    <w:rsid w:val="004C7D08"/>
    <w:rsid w:val="004C7EC6"/>
    <w:rsid w:val="004D021E"/>
    <w:rsid w:val="004D03FE"/>
    <w:rsid w:val="004D04E2"/>
    <w:rsid w:val="004D0935"/>
    <w:rsid w:val="004D0D5D"/>
    <w:rsid w:val="004D1196"/>
    <w:rsid w:val="004D1570"/>
    <w:rsid w:val="004D2093"/>
    <w:rsid w:val="004D25DF"/>
    <w:rsid w:val="004D2AFC"/>
    <w:rsid w:val="004D34FE"/>
    <w:rsid w:val="004D36ED"/>
    <w:rsid w:val="004D3ECE"/>
    <w:rsid w:val="004D4816"/>
    <w:rsid w:val="004D49D1"/>
    <w:rsid w:val="004D4B4A"/>
    <w:rsid w:val="004D51E4"/>
    <w:rsid w:val="004D561F"/>
    <w:rsid w:val="004D6846"/>
    <w:rsid w:val="004D6C4F"/>
    <w:rsid w:val="004D702A"/>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5D65"/>
    <w:rsid w:val="004F600A"/>
    <w:rsid w:val="004F6077"/>
    <w:rsid w:val="004F6B48"/>
    <w:rsid w:val="004F6B63"/>
    <w:rsid w:val="004F6C68"/>
    <w:rsid w:val="004F6F48"/>
    <w:rsid w:val="005002EF"/>
    <w:rsid w:val="0050031D"/>
    <w:rsid w:val="00500853"/>
    <w:rsid w:val="00500A67"/>
    <w:rsid w:val="005017E5"/>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4CF1"/>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A13"/>
    <w:rsid w:val="00526B1C"/>
    <w:rsid w:val="00526CF1"/>
    <w:rsid w:val="00526E2A"/>
    <w:rsid w:val="005272A2"/>
    <w:rsid w:val="005301E3"/>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0F"/>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2DFD"/>
    <w:rsid w:val="00552F9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EB8"/>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4651"/>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EAC"/>
    <w:rsid w:val="005A4FFE"/>
    <w:rsid w:val="005A5459"/>
    <w:rsid w:val="005A592C"/>
    <w:rsid w:val="005A60DA"/>
    <w:rsid w:val="005A6486"/>
    <w:rsid w:val="005A65B0"/>
    <w:rsid w:val="005A6621"/>
    <w:rsid w:val="005A74C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170"/>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1FD3"/>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24B2"/>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E1B"/>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35E"/>
    <w:rsid w:val="005F448F"/>
    <w:rsid w:val="005F4662"/>
    <w:rsid w:val="005F4A2C"/>
    <w:rsid w:val="005F5485"/>
    <w:rsid w:val="005F617C"/>
    <w:rsid w:val="005F6263"/>
    <w:rsid w:val="005F665D"/>
    <w:rsid w:val="005F6C76"/>
    <w:rsid w:val="005F73FB"/>
    <w:rsid w:val="005F7720"/>
    <w:rsid w:val="00600243"/>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F68"/>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E2C"/>
    <w:rsid w:val="00623F8C"/>
    <w:rsid w:val="0062472B"/>
    <w:rsid w:val="00624808"/>
    <w:rsid w:val="00624DB4"/>
    <w:rsid w:val="006266ED"/>
    <w:rsid w:val="00626CB5"/>
    <w:rsid w:val="00626CB6"/>
    <w:rsid w:val="006271BD"/>
    <w:rsid w:val="0062734B"/>
    <w:rsid w:val="00627907"/>
    <w:rsid w:val="00627B0B"/>
    <w:rsid w:val="00627FEC"/>
    <w:rsid w:val="0063029F"/>
    <w:rsid w:val="00630322"/>
    <w:rsid w:val="006305A4"/>
    <w:rsid w:val="0063069B"/>
    <w:rsid w:val="006306B3"/>
    <w:rsid w:val="00630D66"/>
    <w:rsid w:val="0063117E"/>
    <w:rsid w:val="0063147D"/>
    <w:rsid w:val="00631558"/>
    <w:rsid w:val="00631BD0"/>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34C"/>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80"/>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2DA"/>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DF6"/>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2DC"/>
    <w:rsid w:val="006924A4"/>
    <w:rsid w:val="0069252E"/>
    <w:rsid w:val="00693153"/>
    <w:rsid w:val="006932D3"/>
    <w:rsid w:val="006938C5"/>
    <w:rsid w:val="0069395F"/>
    <w:rsid w:val="00694961"/>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DC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6762"/>
    <w:rsid w:val="006B78BC"/>
    <w:rsid w:val="006C03A8"/>
    <w:rsid w:val="006C09A4"/>
    <w:rsid w:val="006C0B65"/>
    <w:rsid w:val="006C0B92"/>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15"/>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6B9"/>
    <w:rsid w:val="00703706"/>
    <w:rsid w:val="00703745"/>
    <w:rsid w:val="0070378E"/>
    <w:rsid w:val="007039A1"/>
    <w:rsid w:val="007041B7"/>
    <w:rsid w:val="00704660"/>
    <w:rsid w:val="007048C6"/>
    <w:rsid w:val="00704BB7"/>
    <w:rsid w:val="00704CFD"/>
    <w:rsid w:val="00704D0A"/>
    <w:rsid w:val="00705168"/>
    <w:rsid w:val="007053C0"/>
    <w:rsid w:val="0070583A"/>
    <w:rsid w:val="00705875"/>
    <w:rsid w:val="00705884"/>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3C5E"/>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1DC"/>
    <w:rsid w:val="00724248"/>
    <w:rsid w:val="0072476D"/>
    <w:rsid w:val="00724BC1"/>
    <w:rsid w:val="007254B4"/>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3DE2"/>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37D85"/>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18E"/>
    <w:rsid w:val="00746A2C"/>
    <w:rsid w:val="007474D0"/>
    <w:rsid w:val="007474D2"/>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AE2"/>
    <w:rsid w:val="00777AEF"/>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4A5E"/>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12E"/>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1F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4A4"/>
    <w:rsid w:val="007F34DD"/>
    <w:rsid w:val="007F360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83A"/>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2BF"/>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FAB"/>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87FA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0F30"/>
    <w:rsid w:val="008A118D"/>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554"/>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7FB"/>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5BA"/>
    <w:rsid w:val="008D5F32"/>
    <w:rsid w:val="008D5F35"/>
    <w:rsid w:val="008D64E6"/>
    <w:rsid w:val="008D6D2B"/>
    <w:rsid w:val="008D6F1D"/>
    <w:rsid w:val="008D73C5"/>
    <w:rsid w:val="008D74E1"/>
    <w:rsid w:val="008D77B3"/>
    <w:rsid w:val="008D7B38"/>
    <w:rsid w:val="008D7FCB"/>
    <w:rsid w:val="008E02D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4BFD"/>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1BE"/>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89E"/>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7F70"/>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615"/>
    <w:rsid w:val="00955663"/>
    <w:rsid w:val="00955A29"/>
    <w:rsid w:val="009569A9"/>
    <w:rsid w:val="00957150"/>
    <w:rsid w:val="00957A13"/>
    <w:rsid w:val="00957E93"/>
    <w:rsid w:val="00960924"/>
    <w:rsid w:val="00960D93"/>
    <w:rsid w:val="00960DFD"/>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2F4D"/>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4B2A"/>
    <w:rsid w:val="00985829"/>
    <w:rsid w:val="0098594C"/>
    <w:rsid w:val="00985BC8"/>
    <w:rsid w:val="00986227"/>
    <w:rsid w:val="00986BB2"/>
    <w:rsid w:val="00986C46"/>
    <w:rsid w:val="00986CC8"/>
    <w:rsid w:val="00987443"/>
    <w:rsid w:val="00987529"/>
    <w:rsid w:val="009877F4"/>
    <w:rsid w:val="00987879"/>
    <w:rsid w:val="009879D7"/>
    <w:rsid w:val="00987C7D"/>
    <w:rsid w:val="009903F7"/>
    <w:rsid w:val="00990465"/>
    <w:rsid w:val="009904FD"/>
    <w:rsid w:val="00990658"/>
    <w:rsid w:val="00990B77"/>
    <w:rsid w:val="00991901"/>
    <w:rsid w:val="00991BCA"/>
    <w:rsid w:val="009923BE"/>
    <w:rsid w:val="00992EB4"/>
    <w:rsid w:val="00993171"/>
    <w:rsid w:val="009932D4"/>
    <w:rsid w:val="009939EB"/>
    <w:rsid w:val="00993A47"/>
    <w:rsid w:val="009941C6"/>
    <w:rsid w:val="009943AE"/>
    <w:rsid w:val="0099490F"/>
    <w:rsid w:val="00995484"/>
    <w:rsid w:val="009959F2"/>
    <w:rsid w:val="00995AF5"/>
    <w:rsid w:val="00995FEE"/>
    <w:rsid w:val="009968D9"/>
    <w:rsid w:val="00996BD1"/>
    <w:rsid w:val="0099719D"/>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26A"/>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27B4"/>
    <w:rsid w:val="009E34DE"/>
    <w:rsid w:val="009E3C5F"/>
    <w:rsid w:val="009E4129"/>
    <w:rsid w:val="009E467B"/>
    <w:rsid w:val="009E4785"/>
    <w:rsid w:val="009E5AE5"/>
    <w:rsid w:val="009E5C25"/>
    <w:rsid w:val="009E6307"/>
    <w:rsid w:val="009E6A82"/>
    <w:rsid w:val="009E6AF8"/>
    <w:rsid w:val="009E79EB"/>
    <w:rsid w:val="009F0068"/>
    <w:rsid w:val="009F04EE"/>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4E93"/>
    <w:rsid w:val="009F507F"/>
    <w:rsid w:val="009F530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2E1B"/>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1F3E"/>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927"/>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C32"/>
    <w:rsid w:val="00A51E23"/>
    <w:rsid w:val="00A520CB"/>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B37"/>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0C77"/>
    <w:rsid w:val="00A814DD"/>
    <w:rsid w:val="00A815E5"/>
    <w:rsid w:val="00A817BA"/>
    <w:rsid w:val="00A81A25"/>
    <w:rsid w:val="00A81D2F"/>
    <w:rsid w:val="00A82097"/>
    <w:rsid w:val="00A8249B"/>
    <w:rsid w:val="00A82568"/>
    <w:rsid w:val="00A825DA"/>
    <w:rsid w:val="00A826F1"/>
    <w:rsid w:val="00A83223"/>
    <w:rsid w:val="00A83401"/>
    <w:rsid w:val="00A838FD"/>
    <w:rsid w:val="00A83BE4"/>
    <w:rsid w:val="00A8426B"/>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474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149"/>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762"/>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76F"/>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3DE8"/>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67FA1"/>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3D0"/>
    <w:rsid w:val="00B8261B"/>
    <w:rsid w:val="00B834DE"/>
    <w:rsid w:val="00B8350F"/>
    <w:rsid w:val="00B83798"/>
    <w:rsid w:val="00B837B1"/>
    <w:rsid w:val="00B83F25"/>
    <w:rsid w:val="00B84674"/>
    <w:rsid w:val="00B8499F"/>
    <w:rsid w:val="00B84D5A"/>
    <w:rsid w:val="00B8541F"/>
    <w:rsid w:val="00B85B42"/>
    <w:rsid w:val="00B85E66"/>
    <w:rsid w:val="00B85F5B"/>
    <w:rsid w:val="00B8687A"/>
    <w:rsid w:val="00B868A5"/>
    <w:rsid w:val="00B869E3"/>
    <w:rsid w:val="00B86F3A"/>
    <w:rsid w:val="00B8702B"/>
    <w:rsid w:val="00B8740D"/>
    <w:rsid w:val="00B8788F"/>
    <w:rsid w:val="00B87A2D"/>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943"/>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2D7E"/>
    <w:rsid w:val="00BB3707"/>
    <w:rsid w:val="00BB3CEC"/>
    <w:rsid w:val="00BB3F06"/>
    <w:rsid w:val="00BB4134"/>
    <w:rsid w:val="00BB4A19"/>
    <w:rsid w:val="00BB4B2F"/>
    <w:rsid w:val="00BB4C13"/>
    <w:rsid w:val="00BB4C44"/>
    <w:rsid w:val="00BB5593"/>
    <w:rsid w:val="00BB5DC3"/>
    <w:rsid w:val="00BB6D33"/>
    <w:rsid w:val="00BB6DA8"/>
    <w:rsid w:val="00BB7339"/>
    <w:rsid w:val="00BB7345"/>
    <w:rsid w:val="00BB7E05"/>
    <w:rsid w:val="00BB7F9E"/>
    <w:rsid w:val="00BC1090"/>
    <w:rsid w:val="00BC1B24"/>
    <w:rsid w:val="00BC1C30"/>
    <w:rsid w:val="00BC1C8A"/>
    <w:rsid w:val="00BC209B"/>
    <w:rsid w:val="00BC2F3E"/>
    <w:rsid w:val="00BC3345"/>
    <w:rsid w:val="00BC3611"/>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5D6C"/>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70E"/>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4B7E"/>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1FBF"/>
    <w:rsid w:val="00C427BA"/>
    <w:rsid w:val="00C428D2"/>
    <w:rsid w:val="00C42C94"/>
    <w:rsid w:val="00C4361D"/>
    <w:rsid w:val="00C43A64"/>
    <w:rsid w:val="00C442AF"/>
    <w:rsid w:val="00C44695"/>
    <w:rsid w:val="00C455F5"/>
    <w:rsid w:val="00C45D8E"/>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38E"/>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376"/>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9A2"/>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5C"/>
    <w:rsid w:val="00CB24E4"/>
    <w:rsid w:val="00CB2F21"/>
    <w:rsid w:val="00CB30C0"/>
    <w:rsid w:val="00CB431C"/>
    <w:rsid w:val="00CB4A31"/>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C783F"/>
    <w:rsid w:val="00CD04A0"/>
    <w:rsid w:val="00CD0D7B"/>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711"/>
    <w:rsid w:val="00CF6BAA"/>
    <w:rsid w:val="00CF7137"/>
    <w:rsid w:val="00CF71CC"/>
    <w:rsid w:val="00CF71F9"/>
    <w:rsid w:val="00CF7551"/>
    <w:rsid w:val="00CF76D5"/>
    <w:rsid w:val="00CF7E3D"/>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DFC"/>
    <w:rsid w:val="00D07F42"/>
    <w:rsid w:val="00D10AD9"/>
    <w:rsid w:val="00D1162D"/>
    <w:rsid w:val="00D11F5B"/>
    <w:rsid w:val="00D123F9"/>
    <w:rsid w:val="00D12424"/>
    <w:rsid w:val="00D12E0F"/>
    <w:rsid w:val="00D130FC"/>
    <w:rsid w:val="00D1324F"/>
    <w:rsid w:val="00D133C4"/>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18"/>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1F"/>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36E"/>
    <w:rsid w:val="00D434CF"/>
    <w:rsid w:val="00D43C18"/>
    <w:rsid w:val="00D440DA"/>
    <w:rsid w:val="00D443C3"/>
    <w:rsid w:val="00D443E7"/>
    <w:rsid w:val="00D445DD"/>
    <w:rsid w:val="00D447D1"/>
    <w:rsid w:val="00D44B97"/>
    <w:rsid w:val="00D44EDC"/>
    <w:rsid w:val="00D44F40"/>
    <w:rsid w:val="00D4695A"/>
    <w:rsid w:val="00D46F05"/>
    <w:rsid w:val="00D46FC6"/>
    <w:rsid w:val="00D471F3"/>
    <w:rsid w:val="00D47353"/>
    <w:rsid w:val="00D47C3E"/>
    <w:rsid w:val="00D5004A"/>
    <w:rsid w:val="00D501FC"/>
    <w:rsid w:val="00D50467"/>
    <w:rsid w:val="00D50AD8"/>
    <w:rsid w:val="00D50B5D"/>
    <w:rsid w:val="00D51130"/>
    <w:rsid w:val="00D51B22"/>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A24"/>
    <w:rsid w:val="00D54C39"/>
    <w:rsid w:val="00D54FD8"/>
    <w:rsid w:val="00D55759"/>
    <w:rsid w:val="00D55B94"/>
    <w:rsid w:val="00D55E4E"/>
    <w:rsid w:val="00D560F0"/>
    <w:rsid w:val="00D56EB4"/>
    <w:rsid w:val="00D56F1B"/>
    <w:rsid w:val="00D5799B"/>
    <w:rsid w:val="00D57A4B"/>
    <w:rsid w:val="00D57BD4"/>
    <w:rsid w:val="00D57C32"/>
    <w:rsid w:val="00D57DDF"/>
    <w:rsid w:val="00D57E28"/>
    <w:rsid w:val="00D6003A"/>
    <w:rsid w:val="00D60051"/>
    <w:rsid w:val="00D60A8E"/>
    <w:rsid w:val="00D60EDE"/>
    <w:rsid w:val="00D615EC"/>
    <w:rsid w:val="00D617C0"/>
    <w:rsid w:val="00D61CFC"/>
    <w:rsid w:val="00D61ED7"/>
    <w:rsid w:val="00D62033"/>
    <w:rsid w:val="00D62F71"/>
    <w:rsid w:val="00D6300C"/>
    <w:rsid w:val="00D6301A"/>
    <w:rsid w:val="00D63149"/>
    <w:rsid w:val="00D632CA"/>
    <w:rsid w:val="00D6427F"/>
    <w:rsid w:val="00D64289"/>
    <w:rsid w:val="00D644E7"/>
    <w:rsid w:val="00D64A01"/>
    <w:rsid w:val="00D64AB1"/>
    <w:rsid w:val="00D651C9"/>
    <w:rsid w:val="00D65A81"/>
    <w:rsid w:val="00D65E95"/>
    <w:rsid w:val="00D66031"/>
    <w:rsid w:val="00D668CD"/>
    <w:rsid w:val="00D66D23"/>
    <w:rsid w:val="00D67ADD"/>
    <w:rsid w:val="00D7011B"/>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5CA"/>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939"/>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6C8D"/>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10"/>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47F3"/>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95B"/>
    <w:rsid w:val="00E34CF4"/>
    <w:rsid w:val="00E34EC3"/>
    <w:rsid w:val="00E35083"/>
    <w:rsid w:val="00E351EB"/>
    <w:rsid w:val="00E35BE7"/>
    <w:rsid w:val="00E36224"/>
    <w:rsid w:val="00E36517"/>
    <w:rsid w:val="00E36950"/>
    <w:rsid w:val="00E36A59"/>
    <w:rsid w:val="00E37162"/>
    <w:rsid w:val="00E3790C"/>
    <w:rsid w:val="00E37D61"/>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1E1B"/>
    <w:rsid w:val="00E5236D"/>
    <w:rsid w:val="00E52ABA"/>
    <w:rsid w:val="00E538B2"/>
    <w:rsid w:val="00E53BC0"/>
    <w:rsid w:val="00E5476A"/>
    <w:rsid w:val="00E54C6D"/>
    <w:rsid w:val="00E54CCC"/>
    <w:rsid w:val="00E56A81"/>
    <w:rsid w:val="00E56B84"/>
    <w:rsid w:val="00E56BD9"/>
    <w:rsid w:val="00E56D63"/>
    <w:rsid w:val="00E5743A"/>
    <w:rsid w:val="00E575A3"/>
    <w:rsid w:val="00E576FB"/>
    <w:rsid w:val="00E57B0F"/>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3D76"/>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3B5"/>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ABB"/>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2E4C"/>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47F3B"/>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2BF"/>
    <w:rsid w:val="00F55726"/>
    <w:rsid w:val="00F559E3"/>
    <w:rsid w:val="00F560A0"/>
    <w:rsid w:val="00F56364"/>
    <w:rsid w:val="00F56B3E"/>
    <w:rsid w:val="00F571B2"/>
    <w:rsid w:val="00F572D5"/>
    <w:rsid w:val="00F576C4"/>
    <w:rsid w:val="00F579D4"/>
    <w:rsid w:val="00F57A31"/>
    <w:rsid w:val="00F57C3C"/>
    <w:rsid w:val="00F605D1"/>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400"/>
    <w:rsid w:val="00F66644"/>
    <w:rsid w:val="00F66897"/>
    <w:rsid w:val="00F6690D"/>
    <w:rsid w:val="00F66929"/>
    <w:rsid w:val="00F67134"/>
    <w:rsid w:val="00F672D9"/>
    <w:rsid w:val="00F6778B"/>
    <w:rsid w:val="00F678C2"/>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935"/>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78"/>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5E7"/>
    <w:rsid w:val="00FB772B"/>
    <w:rsid w:val="00FB7989"/>
    <w:rsid w:val="00FB79EB"/>
    <w:rsid w:val="00FB7F72"/>
    <w:rsid w:val="00FB7FF4"/>
    <w:rsid w:val="00FC04EF"/>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3C88"/>
    <w:rsid w:val="00FF412F"/>
    <w:rsid w:val="00FF497C"/>
    <w:rsid w:val="00FF58A4"/>
    <w:rsid w:val="00FF5EA6"/>
    <w:rsid w:val="00FF5F02"/>
    <w:rsid w:val="00FF6443"/>
    <w:rsid w:val="00FF6F3D"/>
    <w:rsid w:val="00FF714C"/>
    <w:rsid w:val="00FF7191"/>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9"/>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2"/>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10"/>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qFormat/>
    <w:rsid w:val="004549CC"/>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3"/>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Default">
    <w:name w:val="Default"/>
    <w:rsid w:val="00557EB8"/>
    <w:pPr>
      <w:autoSpaceDE w:val="0"/>
      <w:autoSpaceDN w:val="0"/>
      <w:adjustRightInd w:val="0"/>
    </w:pPr>
    <w:rPr>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43753484">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3736297">
      <w:bodyDiv w:val="1"/>
      <w:marLeft w:val="0"/>
      <w:marRight w:val="0"/>
      <w:marTop w:val="0"/>
      <w:marBottom w:val="0"/>
      <w:divBdr>
        <w:top w:val="none" w:sz="0" w:space="0" w:color="auto"/>
        <w:left w:val="none" w:sz="0" w:space="0" w:color="auto"/>
        <w:bottom w:val="none" w:sz="0" w:space="0" w:color="auto"/>
        <w:right w:val="none" w:sz="0" w:space="0" w:color="auto"/>
      </w:divBdr>
    </w:div>
    <w:div w:id="828524653">
      <w:bodyDiv w:val="1"/>
      <w:marLeft w:val="0"/>
      <w:marRight w:val="0"/>
      <w:marTop w:val="0"/>
      <w:marBottom w:val="0"/>
      <w:divBdr>
        <w:top w:val="none" w:sz="0" w:space="0" w:color="auto"/>
        <w:left w:val="none" w:sz="0" w:space="0" w:color="auto"/>
        <w:bottom w:val="none" w:sz="0" w:space="0" w:color="auto"/>
        <w:right w:val="none" w:sz="0" w:space="0" w:color="auto"/>
      </w:divBdr>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8429173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2987165">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0647198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170994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50467966">
      <w:bodyDiv w:val="1"/>
      <w:marLeft w:val="0"/>
      <w:marRight w:val="0"/>
      <w:marTop w:val="0"/>
      <w:marBottom w:val="0"/>
      <w:divBdr>
        <w:top w:val="none" w:sz="0" w:space="0" w:color="auto"/>
        <w:left w:val="none" w:sz="0" w:space="0" w:color="auto"/>
        <w:bottom w:val="none" w:sz="0" w:space="0" w:color="auto"/>
        <w:right w:val="none" w:sz="0" w:space="0" w:color="auto"/>
      </w:divBdr>
      <w:divsChild>
        <w:div w:id="1431511494">
          <w:marLeft w:val="274"/>
          <w:marRight w:val="0"/>
          <w:marTop w:val="115"/>
          <w:marBottom w:val="0"/>
          <w:divBdr>
            <w:top w:val="none" w:sz="0" w:space="0" w:color="auto"/>
            <w:left w:val="none" w:sz="0" w:space="0" w:color="auto"/>
            <w:bottom w:val="none" w:sz="0" w:space="0" w:color="auto"/>
            <w:right w:val="none" w:sz="0" w:space="0" w:color="auto"/>
          </w:divBdr>
        </w:div>
        <w:div w:id="701173453">
          <w:marLeft w:val="835"/>
          <w:marRight w:val="0"/>
          <w:marTop w:val="96"/>
          <w:marBottom w:val="0"/>
          <w:divBdr>
            <w:top w:val="none" w:sz="0" w:space="0" w:color="auto"/>
            <w:left w:val="none" w:sz="0" w:space="0" w:color="auto"/>
            <w:bottom w:val="none" w:sz="0" w:space="0" w:color="auto"/>
            <w:right w:val="none" w:sz="0" w:space="0" w:color="auto"/>
          </w:divBdr>
        </w:div>
        <w:div w:id="2092654141">
          <w:marLeft w:val="835"/>
          <w:marRight w:val="0"/>
          <w:marTop w:val="96"/>
          <w:marBottom w:val="0"/>
          <w:divBdr>
            <w:top w:val="none" w:sz="0" w:space="0" w:color="auto"/>
            <w:left w:val="none" w:sz="0" w:space="0" w:color="auto"/>
            <w:bottom w:val="none" w:sz="0" w:space="0" w:color="auto"/>
            <w:right w:val="none" w:sz="0" w:space="0" w:color="auto"/>
          </w:divBdr>
        </w:div>
      </w:divsChild>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5NUHHDQN7SK2-1476151046-17326</_dlc_DocId>
    <_dlc_DocIdUrl xmlns="f166a696-7b5b-4ccd-9f0c-ffde0cceec81">
      <Url>https://ericsson.sharepoint.com/sites/star/_layouts/15/DocIdRedir.aspx?ID=5NUHHDQN7SK2-1476151046-17326</Url>
      <Description>5NUHHDQN7SK2-1476151046-17326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06ABD-5C2B-4D3D-9529-6DEF14A9A09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C525D8E-3C3A-4A15-8B56-39F82D3A1285}">
  <ds:schemaRefs>
    <ds:schemaRef ds:uri="Microsoft.SharePoint.Taxonomy.ContentTypeSync"/>
  </ds:schemaRefs>
</ds:datastoreItem>
</file>

<file path=customXml/itemProps3.xml><?xml version="1.0" encoding="utf-8"?>
<ds:datastoreItem xmlns:ds="http://schemas.openxmlformats.org/officeDocument/2006/customXml" ds:itemID="{552A5EB0-6583-425B-961B-E37529ACB607}">
  <ds:schemaRefs>
    <ds:schemaRef ds:uri="http://schemas.microsoft.com/sharepoint/events"/>
  </ds:schemaRefs>
</ds:datastoreItem>
</file>

<file path=customXml/itemProps4.xml><?xml version="1.0" encoding="utf-8"?>
<ds:datastoreItem xmlns:ds="http://schemas.openxmlformats.org/officeDocument/2006/customXml" ds:itemID="{78D03A06-9C06-4CF1-9BA0-A327F868B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6F5FD6-C405-4ADF-A850-CBCBD9932F99}">
  <ds:schemaRefs>
    <ds:schemaRef ds:uri="http://schemas.microsoft.com/sharepoint/v3/contenttype/forms"/>
  </ds:schemaRefs>
</ds:datastoreItem>
</file>

<file path=customXml/itemProps6.xml><?xml version="1.0" encoding="utf-8"?>
<ds:datastoreItem xmlns:ds="http://schemas.openxmlformats.org/officeDocument/2006/customXml" ds:itemID="{46D940A4-E4FB-43E1-8D83-8E805635F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2657</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keywords/>
  <cp:lastModifiedBy>Peter Alriksson</cp:lastModifiedBy>
  <cp:revision>185</cp:revision>
  <dcterms:created xsi:type="dcterms:W3CDTF">2017-03-20T10:24:00Z</dcterms:created>
  <dcterms:modified xsi:type="dcterms:W3CDTF">2018-02-16T13:13:00Z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b9004d16-7d75-4a36-8195-a0918cef0186</vt:lpwstr>
  </property>
  <property fmtid="{D5CDD505-2E9C-101B-9397-08002B2CF9AE}" pid="13" name="URL">
    <vt:lpwstr/>
  </property>
  <property fmtid="{D5CDD505-2E9C-101B-9397-08002B2CF9AE}" pid="14" name="Comments">
    <vt:lpwstr/>
  </property>
</Properties>
</file>